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1CF5" w14:textId="0A86DA05" w:rsidR="009A7A7E" w:rsidRDefault="000A2F84" w:rsidP="005243EB">
      <w:r>
        <w:rPr>
          <w:noProof/>
        </w:rPr>
        <w:drawing>
          <wp:inline distT="0" distB="0" distL="0" distR="0" wp14:anchorId="738C7B44" wp14:editId="0E7B9012">
            <wp:extent cx="6400800" cy="4267200"/>
            <wp:effectExtent l="0" t="0" r="0" b="0"/>
            <wp:docPr id="1" name="Picture 1" descr="A group of people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a tabl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4267200"/>
                    </a:xfrm>
                    <a:prstGeom prst="rect">
                      <a:avLst/>
                    </a:prstGeom>
                  </pic:spPr>
                </pic:pic>
              </a:graphicData>
            </a:graphic>
          </wp:inline>
        </w:drawing>
      </w:r>
    </w:p>
    <w:p w14:paraId="60F4D7E4" w14:textId="074EA236" w:rsidR="00C348B6" w:rsidRPr="002115D4" w:rsidRDefault="00745A39" w:rsidP="002115D4">
      <w:pPr>
        <w:pStyle w:val="Title"/>
      </w:pPr>
      <w:r>
        <w:rPr>
          <w:noProof/>
          <w:color w:val="75787B"/>
          <w:sz w:val="18"/>
        </w:rPr>
        <w:drawing>
          <wp:anchor distT="0" distB="0" distL="114300" distR="114300" simplePos="0" relativeHeight="251657728" behindDoc="0" locked="0" layoutInCell="1" allowOverlap="1" wp14:anchorId="708FDBB1" wp14:editId="59EC0A56">
            <wp:simplePos x="0" y="0"/>
            <wp:positionH relativeFrom="column">
              <wp:posOffset>3726180</wp:posOffset>
            </wp:positionH>
            <wp:positionV relativeFrom="paragraph">
              <wp:posOffset>509270</wp:posOffset>
            </wp:positionV>
            <wp:extent cx="4400550" cy="4400550"/>
            <wp:effectExtent l="0" t="0" r="6350" b="6350"/>
            <wp:wrapNone/>
            <wp:docPr id="9" name="Picture 9" descr="Trist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esktop\Tristar - small and lighter.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tretch/>
                  </pic:blipFill>
                  <pic:spPr bwMode="auto">
                    <a:xfrm>
                      <a:off x="0" y="0"/>
                      <a:ext cx="4400550" cy="440055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B7A" w:rsidRPr="002115D4">
        <w:rPr>
          <w:b/>
          <w:noProof/>
        </w:rPr>
        <mc:AlternateContent>
          <mc:Choice Requires="wps">
            <w:drawing>
              <wp:anchor distT="0" distB="0" distL="114300" distR="114300" simplePos="0" relativeHeight="251656704" behindDoc="0" locked="0" layoutInCell="1" allowOverlap="1" wp14:anchorId="4F557AF4" wp14:editId="1D5ACA32">
                <wp:simplePos x="0" y="0"/>
                <wp:positionH relativeFrom="column">
                  <wp:posOffset>-1009650</wp:posOffset>
                </wp:positionH>
                <wp:positionV relativeFrom="paragraph">
                  <wp:posOffset>259384</wp:posOffset>
                </wp:positionV>
                <wp:extent cx="8124825" cy="0"/>
                <wp:effectExtent l="0" t="19050" r="9525" b="38100"/>
                <wp:wrapNone/>
                <wp:docPr id="15" name="Straight Connector 15" descr="Red Line"/>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rgbClr val="EE35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B116518">
              <v:line id="Straight Connector 15" style="position:absolute;z-index:251650048;visibility:visible;mso-wrap-style:square;mso-wrap-distance-left:9pt;mso-wrap-distance-top:0;mso-wrap-distance-right:9pt;mso-wrap-distance-bottom:0;mso-position-horizontal:absolute;mso-position-horizontal-relative:text;mso-position-vertical:absolute;mso-position-vertical-relative:text" alt="Red Line" o:spid="_x0000_s1026" strokecolor="#ee3524" strokeweight="4pt" from="-79.5pt,20.4pt" to="560.25pt,20.4pt" w14:anchorId="65B3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"/>
            </w:pict>
          </mc:Fallback>
        </mc:AlternateContent>
      </w:r>
      <w:r w:rsidR="002115D4">
        <w:br/>
      </w:r>
      <w:r w:rsidR="000E552F">
        <w:t>EPSO Week 2022</w:t>
      </w:r>
    </w:p>
    <w:p w14:paraId="2C0B2D75" w14:textId="6EB19B0D" w:rsidR="00C348B6" w:rsidRPr="002115D4" w:rsidRDefault="000E552F" w:rsidP="002115D4">
      <w:pPr>
        <w:pStyle w:val="Subtitle"/>
      </w:pPr>
      <w:r>
        <w:t>Planning Guide</w:t>
      </w:r>
    </w:p>
    <w:p w14:paraId="43DB9CFF" w14:textId="167200CB" w:rsidR="008915DD" w:rsidRPr="002115D4" w:rsidRDefault="00C348B6" w:rsidP="002115D4">
      <w:pPr>
        <w:pStyle w:val="TDOEMonthYear"/>
      </w:pPr>
      <w:r w:rsidRPr="002115D4">
        <w:t>Tennessee Department of Ed</w:t>
      </w:r>
      <w:r w:rsidR="007C582C" w:rsidRPr="002115D4">
        <w:t xml:space="preserve">ucation | </w:t>
      </w:r>
      <w:r w:rsidR="000E552F">
        <w:t>November 2022</w:t>
      </w:r>
    </w:p>
    <w:p w14:paraId="5B22C504" w14:textId="77777777" w:rsidR="00644DA3" w:rsidRDefault="00644DA3">
      <w:pPr>
        <w:spacing w:after="200" w:line="276" w:lineRule="auto"/>
        <w:rPr>
          <w:rFonts w:ascii="PermianSlabSerifTypeface" w:hAnsi="PermianSlabSerifTypeface"/>
          <w:b/>
          <w:color w:val="6E7073" w:themeColor="text2"/>
          <w:spacing w:val="-20"/>
          <w:sz w:val="44"/>
          <w:szCs w:val="26"/>
        </w:rPr>
      </w:pPr>
      <w:r>
        <w:br w:type="page"/>
      </w:r>
    </w:p>
    <w:p w14:paraId="5FED173F" w14:textId="14D519E5" w:rsidR="00035FEB" w:rsidRPr="002115D4" w:rsidRDefault="000E552F" w:rsidP="002115D4">
      <w:pPr>
        <w:pStyle w:val="Heading1"/>
      </w:pPr>
      <w:r>
        <w:lastRenderedPageBreak/>
        <w:t>A Note from the Program Manager</w:t>
      </w:r>
    </w:p>
    <w:p w14:paraId="25A1C233" w14:textId="49A421F2" w:rsidR="00035FEB" w:rsidRPr="00060BAC" w:rsidRDefault="29E319FB" w:rsidP="00060BAC">
      <w:pPr>
        <w:spacing w:line="276" w:lineRule="auto"/>
        <w:rPr>
          <w:sz w:val="20"/>
          <w:szCs w:val="20"/>
        </w:rPr>
      </w:pPr>
      <w:r w:rsidRPr="4D007418">
        <w:rPr>
          <w:sz w:val="20"/>
          <w:szCs w:val="20"/>
        </w:rPr>
        <w:t>Thank you for your interest in Early Postsecondary Opportunit</w:t>
      </w:r>
      <w:r w:rsidR="0CFBCB86" w:rsidRPr="4D007418">
        <w:rPr>
          <w:sz w:val="20"/>
          <w:szCs w:val="20"/>
        </w:rPr>
        <w:t>ies</w:t>
      </w:r>
      <w:r w:rsidRPr="4D007418">
        <w:rPr>
          <w:sz w:val="20"/>
          <w:szCs w:val="20"/>
        </w:rPr>
        <w:t xml:space="preserve"> (EPSO</w:t>
      </w:r>
      <w:r w:rsidR="5EBD3FFA" w:rsidRPr="4D007418">
        <w:rPr>
          <w:sz w:val="20"/>
          <w:szCs w:val="20"/>
        </w:rPr>
        <w:t>s</w:t>
      </w:r>
      <w:r w:rsidRPr="4D007418">
        <w:rPr>
          <w:sz w:val="20"/>
          <w:szCs w:val="20"/>
        </w:rPr>
        <w:t>) Week 2022! The Tennessee Department of Education is thrilled to celebrate the many ways schools are supporting students as they access and obtain EPSOs. The goal of EPSO W</w:t>
      </w:r>
      <w:r w:rsidR="50BEDDFC" w:rsidRPr="4D007418">
        <w:rPr>
          <w:sz w:val="20"/>
          <w:szCs w:val="20"/>
        </w:rPr>
        <w:t>e</w:t>
      </w:r>
      <w:r w:rsidRPr="4D007418">
        <w:rPr>
          <w:sz w:val="20"/>
          <w:szCs w:val="20"/>
        </w:rPr>
        <w:t xml:space="preserve">ek is to increase awareness of, and enrollment in, EPSOs for students across the state. EPSO Week will serve as a platform for schools and districts to highlight opportunities for students to earn college credit and/or certificates while in high school. Research has shown that students who participate in early postsecondary courses are more likely to enroll and remain in postsecondary. </w:t>
      </w:r>
      <w:r w:rsidR="1CD7A079" w:rsidRPr="4D007418">
        <w:rPr>
          <w:sz w:val="20"/>
          <w:szCs w:val="20"/>
        </w:rPr>
        <w:t xml:space="preserve"> </w:t>
      </w:r>
    </w:p>
    <w:p w14:paraId="49A3F119" w14:textId="0F900955" w:rsidR="00035FEB" w:rsidRPr="002115D4" w:rsidRDefault="000E552F" w:rsidP="002115D4">
      <w:pPr>
        <w:pStyle w:val="Heading2"/>
      </w:pPr>
      <w:r>
        <w:t>Early postsecondary opportunities allow students to:</w:t>
      </w:r>
    </w:p>
    <w:p w14:paraId="31652C5E" w14:textId="63C29D88" w:rsidR="00035FEB" w:rsidRPr="00060BAC" w:rsidRDefault="2BF45736" w:rsidP="007C582C">
      <w:pPr>
        <w:pStyle w:val="ListParagraph"/>
        <w:numPr>
          <w:ilvl w:val="0"/>
          <w:numId w:val="3"/>
        </w:numPr>
        <w:rPr>
          <w:sz w:val="20"/>
          <w:szCs w:val="20"/>
        </w:rPr>
      </w:pPr>
      <w:r w:rsidRPr="4D007418">
        <w:rPr>
          <w:sz w:val="20"/>
          <w:szCs w:val="20"/>
        </w:rPr>
        <w:t>e</w:t>
      </w:r>
      <w:r w:rsidR="29E319FB" w:rsidRPr="4D007418">
        <w:rPr>
          <w:sz w:val="20"/>
          <w:szCs w:val="20"/>
        </w:rPr>
        <w:t xml:space="preserve">arn postsecondary credits while in high </w:t>
      </w:r>
      <w:proofErr w:type="gramStart"/>
      <w:r w:rsidR="29E319FB" w:rsidRPr="4D007418">
        <w:rPr>
          <w:sz w:val="20"/>
          <w:szCs w:val="20"/>
        </w:rPr>
        <w:t>school;</w:t>
      </w:r>
      <w:proofErr w:type="gramEnd"/>
    </w:p>
    <w:p w14:paraId="1163D54A" w14:textId="282D65D0" w:rsidR="00035FEB" w:rsidRPr="00060BAC" w:rsidRDefault="34E44C6A" w:rsidP="007C582C">
      <w:pPr>
        <w:pStyle w:val="ListParagraph"/>
        <w:numPr>
          <w:ilvl w:val="0"/>
          <w:numId w:val="3"/>
        </w:numPr>
        <w:rPr>
          <w:sz w:val="20"/>
          <w:szCs w:val="20"/>
        </w:rPr>
      </w:pPr>
      <w:r w:rsidRPr="4D007418">
        <w:rPr>
          <w:sz w:val="20"/>
          <w:szCs w:val="20"/>
        </w:rPr>
        <w:t>b</w:t>
      </w:r>
      <w:r w:rsidR="29E319FB" w:rsidRPr="4D007418">
        <w:rPr>
          <w:sz w:val="20"/>
          <w:szCs w:val="20"/>
        </w:rPr>
        <w:t xml:space="preserve">ecome familiar with postsecondary </w:t>
      </w:r>
      <w:proofErr w:type="gramStart"/>
      <w:r w:rsidR="29E319FB" w:rsidRPr="4D007418">
        <w:rPr>
          <w:sz w:val="20"/>
          <w:szCs w:val="20"/>
        </w:rPr>
        <w:t>expectations;</w:t>
      </w:r>
      <w:proofErr w:type="gramEnd"/>
      <w:r w:rsidR="29E319FB" w:rsidRPr="4D007418">
        <w:rPr>
          <w:sz w:val="20"/>
          <w:szCs w:val="20"/>
        </w:rPr>
        <w:t xml:space="preserve"> </w:t>
      </w:r>
    </w:p>
    <w:p w14:paraId="3DFA21C5" w14:textId="78467CE2" w:rsidR="00035FEB" w:rsidRPr="00060BAC" w:rsidRDefault="154D598A" w:rsidP="007C582C">
      <w:pPr>
        <w:pStyle w:val="ListParagraph"/>
        <w:numPr>
          <w:ilvl w:val="0"/>
          <w:numId w:val="3"/>
        </w:numPr>
        <w:rPr>
          <w:sz w:val="20"/>
          <w:szCs w:val="20"/>
        </w:rPr>
      </w:pPr>
      <w:r w:rsidRPr="4D007418">
        <w:rPr>
          <w:sz w:val="20"/>
          <w:szCs w:val="20"/>
        </w:rPr>
        <w:t>d</w:t>
      </w:r>
      <w:r w:rsidR="29E319FB" w:rsidRPr="4D007418">
        <w:rPr>
          <w:sz w:val="20"/>
          <w:szCs w:val="20"/>
        </w:rPr>
        <w:t xml:space="preserve">evelop confidence and skills for success in postsecondary </w:t>
      </w:r>
      <w:proofErr w:type="gramStart"/>
      <w:r w:rsidR="29E319FB" w:rsidRPr="4D007418">
        <w:rPr>
          <w:sz w:val="20"/>
          <w:szCs w:val="20"/>
        </w:rPr>
        <w:t>education;</w:t>
      </w:r>
      <w:proofErr w:type="gramEnd"/>
      <w:r w:rsidR="29E319FB" w:rsidRPr="4D007418">
        <w:rPr>
          <w:sz w:val="20"/>
          <w:szCs w:val="20"/>
        </w:rPr>
        <w:t xml:space="preserve"> </w:t>
      </w:r>
      <w:r w:rsidR="1CD7A079" w:rsidRPr="4D007418">
        <w:rPr>
          <w:sz w:val="20"/>
          <w:szCs w:val="20"/>
        </w:rPr>
        <w:t xml:space="preserve"> </w:t>
      </w:r>
    </w:p>
    <w:p w14:paraId="3FEE4AA6" w14:textId="1D199F4B" w:rsidR="00035FEB" w:rsidRDefault="362D8CA3" w:rsidP="007C582C">
      <w:pPr>
        <w:pStyle w:val="ListParagraph"/>
        <w:numPr>
          <w:ilvl w:val="0"/>
          <w:numId w:val="3"/>
        </w:numPr>
        <w:rPr>
          <w:sz w:val="20"/>
          <w:szCs w:val="20"/>
        </w:rPr>
      </w:pPr>
      <w:r w:rsidRPr="4D007418">
        <w:rPr>
          <w:sz w:val="20"/>
          <w:szCs w:val="20"/>
        </w:rPr>
        <w:t>m</w:t>
      </w:r>
      <w:r w:rsidR="29E319FB" w:rsidRPr="4D007418">
        <w:rPr>
          <w:sz w:val="20"/>
          <w:szCs w:val="20"/>
        </w:rPr>
        <w:t>ake informed postsecondary education and career decisions; and</w:t>
      </w:r>
    </w:p>
    <w:p w14:paraId="0F902FDD" w14:textId="018039E9" w:rsidR="000E552F" w:rsidRDefault="68FDA68C" w:rsidP="007C582C">
      <w:pPr>
        <w:pStyle w:val="ListParagraph"/>
        <w:numPr>
          <w:ilvl w:val="0"/>
          <w:numId w:val="3"/>
        </w:numPr>
        <w:rPr>
          <w:sz w:val="20"/>
          <w:szCs w:val="20"/>
        </w:rPr>
      </w:pPr>
      <w:r w:rsidRPr="4D007418">
        <w:rPr>
          <w:sz w:val="20"/>
          <w:szCs w:val="20"/>
        </w:rPr>
        <w:t>d</w:t>
      </w:r>
      <w:r w:rsidR="29E319FB" w:rsidRPr="4D007418">
        <w:rPr>
          <w:sz w:val="20"/>
          <w:szCs w:val="20"/>
        </w:rPr>
        <w:t>ecrease the time and cost of completing a certificate or degree.</w:t>
      </w:r>
    </w:p>
    <w:p w14:paraId="538F0271" w14:textId="2F0D678D" w:rsidR="000E552F" w:rsidRDefault="29E319FB" w:rsidP="000E552F">
      <w:pPr>
        <w:rPr>
          <w:sz w:val="20"/>
          <w:szCs w:val="20"/>
        </w:rPr>
      </w:pPr>
      <w:r w:rsidRPr="4D007418">
        <w:rPr>
          <w:sz w:val="20"/>
          <w:szCs w:val="20"/>
        </w:rPr>
        <w:t xml:space="preserve">EPSO Week can serve as a time to reflect on the preceding year, a time to celebrate your current EPSOs, and a time to reflect on how to expand and promote early postsecondary opportunities to all ready students in your school. While the focus of EPSO Week is particularly on high school students, we encourage middle and elementary schools to include activities throughout the week that highlight the importance of EPSOs. </w:t>
      </w:r>
    </w:p>
    <w:p w14:paraId="2C1E72FB" w14:textId="3113AB0A" w:rsidR="000E552F" w:rsidRDefault="29E319FB" w:rsidP="000E552F">
      <w:pPr>
        <w:rPr>
          <w:sz w:val="20"/>
          <w:szCs w:val="20"/>
        </w:rPr>
      </w:pPr>
      <w:r w:rsidRPr="4D007418">
        <w:rPr>
          <w:sz w:val="20"/>
          <w:szCs w:val="20"/>
        </w:rPr>
        <w:t xml:space="preserve">If you have any questions or concerns about planning and implementing EPSO Week at your school, please reach out to </w:t>
      </w:r>
      <w:hyperlink r:id="rId13">
        <w:r w:rsidRPr="4D007418">
          <w:rPr>
            <w:rStyle w:val="Hyperlink"/>
            <w:sz w:val="20"/>
            <w:szCs w:val="20"/>
          </w:rPr>
          <w:t>Early.Postsecondary@tn.gov</w:t>
        </w:r>
      </w:hyperlink>
      <w:r w:rsidRPr="4D007418">
        <w:rPr>
          <w:sz w:val="20"/>
          <w:szCs w:val="20"/>
        </w:rPr>
        <w:t>. We will keep you update</w:t>
      </w:r>
      <w:r w:rsidR="37F26DC1" w:rsidRPr="4D007418">
        <w:rPr>
          <w:sz w:val="20"/>
          <w:szCs w:val="20"/>
        </w:rPr>
        <w:t>d</w:t>
      </w:r>
      <w:r w:rsidRPr="4D007418">
        <w:rPr>
          <w:sz w:val="20"/>
          <w:szCs w:val="20"/>
        </w:rPr>
        <w:t xml:space="preserve"> regarding any changes or additional information you may find useful. Thank you in advance for your dedication and commitment to Tennessee students!</w:t>
      </w:r>
    </w:p>
    <w:p w14:paraId="6DC7A9E6" w14:textId="5CEEE6B8" w:rsidR="000E552F" w:rsidRDefault="000E552F" w:rsidP="000E552F">
      <w:pPr>
        <w:rPr>
          <w:sz w:val="20"/>
          <w:szCs w:val="20"/>
        </w:rPr>
      </w:pPr>
      <w:r>
        <w:rPr>
          <w:sz w:val="20"/>
          <w:szCs w:val="20"/>
        </w:rPr>
        <w:t>Sincerely,</w:t>
      </w:r>
    </w:p>
    <w:p w14:paraId="40C27930" w14:textId="6CBDBB20" w:rsidR="00822269" w:rsidRDefault="000E552F" w:rsidP="000E552F">
      <w:pPr>
        <w:rPr>
          <w:sz w:val="20"/>
          <w:szCs w:val="20"/>
        </w:rPr>
      </w:pPr>
      <w:r>
        <w:rPr>
          <w:sz w:val="20"/>
          <w:szCs w:val="20"/>
        </w:rPr>
        <w:t>Liza Ambrose</w:t>
      </w:r>
      <w:r>
        <w:rPr>
          <w:sz w:val="20"/>
          <w:szCs w:val="20"/>
        </w:rPr>
        <w:br/>
        <w:t xml:space="preserve">Program Manager, </w:t>
      </w:r>
      <w:proofErr w:type="gramStart"/>
      <w:r>
        <w:rPr>
          <w:sz w:val="20"/>
          <w:szCs w:val="20"/>
        </w:rPr>
        <w:t>College</w:t>
      </w:r>
      <w:proofErr w:type="gramEnd"/>
      <w:r>
        <w:rPr>
          <w:sz w:val="20"/>
          <w:szCs w:val="20"/>
        </w:rPr>
        <w:t xml:space="preserve"> and Career Readiness</w:t>
      </w:r>
      <w:r>
        <w:rPr>
          <w:sz w:val="20"/>
          <w:szCs w:val="20"/>
        </w:rPr>
        <w:br/>
        <w:t>Tennessee Department of Education</w:t>
      </w:r>
    </w:p>
    <w:p w14:paraId="45C0A8D8" w14:textId="77777777" w:rsidR="00822269" w:rsidRDefault="00822269">
      <w:pPr>
        <w:spacing w:after="200" w:line="276" w:lineRule="auto"/>
        <w:rPr>
          <w:sz w:val="20"/>
          <w:szCs w:val="20"/>
        </w:rPr>
      </w:pPr>
      <w:r>
        <w:rPr>
          <w:sz w:val="20"/>
          <w:szCs w:val="20"/>
        </w:rPr>
        <w:br w:type="page"/>
      </w:r>
    </w:p>
    <w:p w14:paraId="720DE351" w14:textId="26E464C5" w:rsidR="00822269" w:rsidRPr="002115D4" w:rsidRDefault="00822269" w:rsidP="00822269">
      <w:pPr>
        <w:pStyle w:val="Heading1"/>
      </w:pPr>
      <w:r>
        <w:lastRenderedPageBreak/>
        <w:t>EPSO Quick Guide</w:t>
      </w:r>
    </w:p>
    <w:p w14:paraId="19D68F9E" w14:textId="1710E3F5" w:rsidR="00822269" w:rsidRDefault="00822269" w:rsidP="00822269">
      <w:pPr>
        <w:spacing w:line="276" w:lineRule="auto"/>
        <w:rPr>
          <w:sz w:val="20"/>
          <w:szCs w:val="20"/>
        </w:rPr>
      </w:pPr>
      <w:r>
        <w:rPr>
          <w:sz w:val="20"/>
          <w:szCs w:val="20"/>
        </w:rPr>
        <w:t>There are many ways and options for students to earn postsecondary credit across the state. Below is a list of current EPSO options in Tennessee</w:t>
      </w:r>
      <w:r w:rsidR="00013579">
        <w:rPr>
          <w:sz w:val="20"/>
          <w:szCs w:val="20"/>
        </w:rPr>
        <w:t>.</w:t>
      </w:r>
    </w:p>
    <w:tbl>
      <w:tblPr>
        <w:tblStyle w:val="TDOETable1"/>
        <w:tblW w:w="0" w:type="auto"/>
        <w:tblLook w:val="04A0" w:firstRow="1" w:lastRow="0" w:firstColumn="1" w:lastColumn="0" w:noHBand="0" w:noVBand="1"/>
      </w:tblPr>
      <w:tblGrid>
        <w:gridCol w:w="2517"/>
        <w:gridCol w:w="7553"/>
      </w:tblGrid>
      <w:tr w:rsidR="00013579" w:rsidRPr="000B119E" w14:paraId="744F325A" w14:textId="77777777" w:rsidTr="4D007418">
        <w:trPr>
          <w:cnfStyle w:val="100000000000" w:firstRow="1" w:lastRow="0" w:firstColumn="0" w:lastColumn="0" w:oddVBand="0" w:evenVBand="0" w:oddHBand="0" w:evenHBand="0" w:firstRowFirstColumn="0" w:firstRowLastColumn="0" w:lastRowFirstColumn="0" w:lastRowLastColumn="0"/>
        </w:trPr>
        <w:tc>
          <w:tcPr>
            <w:tcW w:w="10070" w:type="dxa"/>
            <w:gridSpan w:val="2"/>
          </w:tcPr>
          <w:p w14:paraId="5C02D917" w14:textId="4B5DA988" w:rsidR="00013579" w:rsidRPr="000B119E" w:rsidRDefault="00013579" w:rsidP="00F76801">
            <w:pPr>
              <w:spacing w:after="0" w:line="240" w:lineRule="auto"/>
              <w:rPr>
                <w:rFonts w:eastAsia="Calibri"/>
              </w:rPr>
            </w:pPr>
            <w:r>
              <w:rPr>
                <w:rFonts w:eastAsia="Calibri"/>
              </w:rPr>
              <w:t>Advanced Placement</w:t>
            </w:r>
          </w:p>
        </w:tc>
      </w:tr>
      <w:tr w:rsidR="00013579" w:rsidRPr="000B119E" w14:paraId="2FC651D0"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Pr>
          <w:p w14:paraId="1D4B8F39" w14:textId="04F2A1D5" w:rsidR="00013579" w:rsidRPr="000B119E" w:rsidRDefault="00013579" w:rsidP="00F76801">
            <w:pPr>
              <w:spacing w:after="0" w:line="240" w:lineRule="auto"/>
              <w:rPr>
                <w:rFonts w:eastAsia="Calibri"/>
              </w:rPr>
            </w:pPr>
            <w:r>
              <w:rPr>
                <w:rFonts w:eastAsia="Calibri"/>
              </w:rPr>
              <w:t>Description</w:t>
            </w:r>
          </w:p>
        </w:tc>
        <w:tc>
          <w:tcPr>
            <w:tcW w:w="7553" w:type="dxa"/>
          </w:tcPr>
          <w:p w14:paraId="36B0980F" w14:textId="313DE3FB" w:rsidR="00013579" w:rsidRPr="000B119E" w:rsidRDefault="000D5162" w:rsidP="00F76801">
            <w:pPr>
              <w:spacing w:after="0" w:line="240" w:lineRule="auto"/>
              <w:rPr>
                <w:rFonts w:eastAsia="Calibri"/>
              </w:rPr>
            </w:pPr>
            <w:r>
              <w:rPr>
                <w:rFonts w:eastAsia="Calibri"/>
              </w:rPr>
              <w:t xml:space="preserve">Provides an opportunity for high school students to experience postsecondary-level coursework across multiple subjects. Each course is aligned to a subject-specific AP exam, which provides students the potential </w:t>
            </w:r>
            <w:r w:rsidR="00CF2A19">
              <w:rPr>
                <w:rFonts w:eastAsia="Calibri"/>
              </w:rPr>
              <w:t>to earn credit for postsecondary coursework in that subject.</w:t>
            </w:r>
          </w:p>
        </w:tc>
      </w:tr>
      <w:tr w:rsidR="00013579" w:rsidRPr="000B119E" w14:paraId="40BF62DC" w14:textId="77777777" w:rsidTr="4D007418">
        <w:trPr>
          <w:cnfStyle w:val="000000010000" w:firstRow="0" w:lastRow="0" w:firstColumn="0" w:lastColumn="0" w:oddVBand="0" w:evenVBand="0" w:oddHBand="0" w:evenHBand="1" w:firstRowFirstColumn="0" w:firstRowLastColumn="0" w:lastRowFirstColumn="0" w:lastRowLastColumn="0"/>
        </w:trPr>
        <w:tc>
          <w:tcPr>
            <w:tcW w:w="2517" w:type="dxa"/>
          </w:tcPr>
          <w:p w14:paraId="663D74A6" w14:textId="4BD631D7" w:rsidR="00013579" w:rsidRPr="000B119E" w:rsidRDefault="000E583C" w:rsidP="00F76801">
            <w:pPr>
              <w:spacing w:after="0" w:line="240" w:lineRule="auto"/>
              <w:rPr>
                <w:rFonts w:eastAsia="Calibri"/>
              </w:rPr>
            </w:pPr>
            <w:r>
              <w:rPr>
                <w:rFonts w:eastAsia="Calibri"/>
              </w:rPr>
              <w:t>Structure</w:t>
            </w:r>
          </w:p>
        </w:tc>
        <w:tc>
          <w:tcPr>
            <w:tcW w:w="7553" w:type="dxa"/>
          </w:tcPr>
          <w:p w14:paraId="589755B2" w14:textId="53F155D3" w:rsidR="00013579" w:rsidRPr="000B119E" w:rsidRDefault="00CF2A19" w:rsidP="00F76801">
            <w:pPr>
              <w:spacing w:after="0" w:line="240" w:lineRule="auto"/>
              <w:rPr>
                <w:rFonts w:eastAsia="Calibri"/>
              </w:rPr>
            </w:pPr>
            <w:r>
              <w:rPr>
                <w:rFonts w:eastAsia="Calibri"/>
              </w:rPr>
              <w:t>Course and exam</w:t>
            </w:r>
          </w:p>
        </w:tc>
      </w:tr>
      <w:tr w:rsidR="00013579" w:rsidRPr="000B119E" w14:paraId="707B4F3A"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bottom w:val="single" w:sz="4" w:space="0" w:color="auto"/>
            </w:tcBorders>
          </w:tcPr>
          <w:p w14:paraId="0940598F" w14:textId="7F8F5E22" w:rsidR="00013579" w:rsidRPr="000B119E" w:rsidRDefault="000E583C" w:rsidP="00F76801">
            <w:pPr>
              <w:spacing w:after="0" w:line="240" w:lineRule="auto"/>
              <w:rPr>
                <w:rFonts w:eastAsia="Calibri"/>
              </w:rPr>
            </w:pPr>
            <w:r>
              <w:rPr>
                <w:rFonts w:eastAsia="Calibri"/>
              </w:rPr>
              <w:t>Provider</w:t>
            </w:r>
          </w:p>
        </w:tc>
        <w:tc>
          <w:tcPr>
            <w:tcW w:w="7553" w:type="dxa"/>
            <w:tcBorders>
              <w:bottom w:val="single" w:sz="4" w:space="0" w:color="auto"/>
            </w:tcBorders>
          </w:tcPr>
          <w:p w14:paraId="2CE88D23" w14:textId="02A5EA42" w:rsidR="00013579" w:rsidRPr="000B119E" w:rsidRDefault="00CF2A19" w:rsidP="00F76801">
            <w:pPr>
              <w:spacing w:after="0" w:line="240" w:lineRule="auto"/>
              <w:rPr>
                <w:rFonts w:eastAsia="Calibri"/>
              </w:rPr>
            </w:pPr>
            <w:r>
              <w:rPr>
                <w:rFonts w:eastAsia="Calibri"/>
              </w:rPr>
              <w:t>The College Board</w:t>
            </w:r>
          </w:p>
        </w:tc>
      </w:tr>
      <w:tr w:rsidR="000D5162" w:rsidRPr="000B119E" w14:paraId="0D367F92" w14:textId="77777777" w:rsidTr="4D007418">
        <w:trPr>
          <w:cnfStyle w:val="000000010000" w:firstRow="0" w:lastRow="0" w:firstColumn="0" w:lastColumn="0" w:oddVBand="0" w:evenVBand="0" w:oddHBand="0" w:evenHBand="1" w:firstRowFirstColumn="0" w:firstRowLastColumn="0" w:lastRowFirstColumn="0" w:lastRowLastColumn="0"/>
        </w:trPr>
        <w:tc>
          <w:tcPr>
            <w:tcW w:w="10070" w:type="dxa"/>
            <w:gridSpan w:val="2"/>
            <w:tcBorders>
              <w:top w:val="single" w:sz="4" w:space="0" w:color="auto"/>
              <w:left w:val="single" w:sz="4" w:space="0" w:color="auto"/>
              <w:bottom w:val="single" w:sz="4" w:space="0" w:color="auto"/>
              <w:right w:val="single" w:sz="4" w:space="0" w:color="auto"/>
            </w:tcBorders>
            <w:shd w:val="clear" w:color="auto" w:fill="002060"/>
          </w:tcPr>
          <w:p w14:paraId="159EEEA9" w14:textId="17CD5ADC" w:rsidR="000D5162" w:rsidRPr="00CF2A19" w:rsidRDefault="00CF2A19" w:rsidP="00F76801">
            <w:pPr>
              <w:spacing w:after="0" w:line="240" w:lineRule="auto"/>
              <w:rPr>
                <w:rFonts w:eastAsia="Calibri"/>
                <w:b/>
                <w:bCs w:val="0"/>
              </w:rPr>
            </w:pPr>
            <w:r>
              <w:rPr>
                <w:rFonts w:eastAsia="Calibri"/>
                <w:b/>
                <w:bCs w:val="0"/>
                <w:color w:val="FFFFFF" w:themeColor="background1"/>
              </w:rPr>
              <w:t>Cambridge International Examinations (CIE)</w:t>
            </w:r>
          </w:p>
        </w:tc>
      </w:tr>
      <w:tr w:rsidR="000D5162" w:rsidRPr="000B119E" w14:paraId="00542B56"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top w:val="single" w:sz="4" w:space="0" w:color="auto"/>
            </w:tcBorders>
          </w:tcPr>
          <w:p w14:paraId="7EC8C406" w14:textId="77777777" w:rsidR="000D5162" w:rsidRPr="000B119E" w:rsidRDefault="000D5162" w:rsidP="00F76801">
            <w:pPr>
              <w:spacing w:after="0" w:line="240" w:lineRule="auto"/>
              <w:rPr>
                <w:rFonts w:eastAsia="Calibri"/>
              </w:rPr>
            </w:pPr>
            <w:r>
              <w:rPr>
                <w:rFonts w:eastAsia="Calibri"/>
              </w:rPr>
              <w:t>Description</w:t>
            </w:r>
          </w:p>
        </w:tc>
        <w:tc>
          <w:tcPr>
            <w:tcW w:w="7553" w:type="dxa"/>
            <w:tcBorders>
              <w:top w:val="single" w:sz="4" w:space="0" w:color="auto"/>
            </w:tcBorders>
          </w:tcPr>
          <w:p w14:paraId="77151F06" w14:textId="56CD864D" w:rsidR="000D5162" w:rsidRPr="000B119E" w:rsidRDefault="44061C77" w:rsidP="00F76801">
            <w:pPr>
              <w:spacing w:after="0" w:line="240" w:lineRule="auto"/>
              <w:rPr>
                <w:rFonts w:eastAsia="Calibri"/>
              </w:rPr>
            </w:pPr>
            <w:r w:rsidRPr="4D007418">
              <w:rPr>
                <w:rFonts w:eastAsia="Calibri"/>
              </w:rPr>
              <w:t>Provides internationally recognized academic programs for students age</w:t>
            </w:r>
            <w:r w:rsidR="5BE24534" w:rsidRPr="4D007418">
              <w:rPr>
                <w:rFonts w:eastAsia="Calibri"/>
              </w:rPr>
              <w:t>s</w:t>
            </w:r>
            <w:r w:rsidRPr="4D007418">
              <w:rPr>
                <w:rFonts w:eastAsia="Calibri"/>
              </w:rPr>
              <w:t xml:space="preserve"> 5 to 19. The high school A and AS Level courses, available only through approved Cambridge International Schools, provide students the opportunity to earn postsecondary credit </w:t>
            </w:r>
            <w:r w:rsidR="42F81FBC" w:rsidRPr="4D007418">
              <w:rPr>
                <w:rFonts w:eastAsia="Calibri"/>
              </w:rPr>
              <w:t>that is accepted by colleges in the U.S. and abroad.</w:t>
            </w:r>
          </w:p>
        </w:tc>
      </w:tr>
      <w:tr w:rsidR="000D5162" w:rsidRPr="000B119E" w14:paraId="0FF33811" w14:textId="77777777" w:rsidTr="4D007418">
        <w:trPr>
          <w:cnfStyle w:val="000000010000" w:firstRow="0" w:lastRow="0" w:firstColumn="0" w:lastColumn="0" w:oddVBand="0" w:evenVBand="0" w:oddHBand="0" w:evenHBand="1" w:firstRowFirstColumn="0" w:firstRowLastColumn="0" w:lastRowFirstColumn="0" w:lastRowLastColumn="0"/>
        </w:trPr>
        <w:tc>
          <w:tcPr>
            <w:tcW w:w="2517" w:type="dxa"/>
          </w:tcPr>
          <w:p w14:paraId="380F22FD" w14:textId="77777777" w:rsidR="000D5162" w:rsidRPr="000B119E" w:rsidRDefault="000D5162" w:rsidP="00F76801">
            <w:pPr>
              <w:spacing w:after="0" w:line="240" w:lineRule="auto"/>
              <w:rPr>
                <w:rFonts w:eastAsia="Calibri"/>
              </w:rPr>
            </w:pPr>
            <w:r>
              <w:rPr>
                <w:rFonts w:eastAsia="Calibri"/>
              </w:rPr>
              <w:t>Structure</w:t>
            </w:r>
          </w:p>
        </w:tc>
        <w:tc>
          <w:tcPr>
            <w:tcW w:w="7553" w:type="dxa"/>
          </w:tcPr>
          <w:p w14:paraId="37BE05D9" w14:textId="44E67E8D" w:rsidR="000D5162" w:rsidRPr="000B119E" w:rsidRDefault="00076EBB" w:rsidP="00F76801">
            <w:pPr>
              <w:spacing w:after="0" w:line="240" w:lineRule="auto"/>
              <w:rPr>
                <w:rFonts w:eastAsia="Calibri"/>
              </w:rPr>
            </w:pPr>
            <w:r>
              <w:rPr>
                <w:rFonts w:eastAsia="Calibri"/>
              </w:rPr>
              <w:t>Course and exam</w:t>
            </w:r>
          </w:p>
        </w:tc>
      </w:tr>
      <w:tr w:rsidR="000D5162" w:rsidRPr="000B119E" w14:paraId="6F52A0AB"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bottom w:val="single" w:sz="4" w:space="0" w:color="auto"/>
            </w:tcBorders>
          </w:tcPr>
          <w:p w14:paraId="00BA9CAD" w14:textId="77777777" w:rsidR="000D5162" w:rsidRPr="000B119E" w:rsidRDefault="000D5162" w:rsidP="00F76801">
            <w:pPr>
              <w:spacing w:after="0" w:line="240" w:lineRule="auto"/>
              <w:rPr>
                <w:rFonts w:eastAsia="Calibri"/>
              </w:rPr>
            </w:pPr>
            <w:r>
              <w:rPr>
                <w:rFonts w:eastAsia="Calibri"/>
              </w:rPr>
              <w:t>Provider</w:t>
            </w:r>
          </w:p>
        </w:tc>
        <w:tc>
          <w:tcPr>
            <w:tcW w:w="7553" w:type="dxa"/>
            <w:tcBorders>
              <w:bottom w:val="single" w:sz="4" w:space="0" w:color="auto"/>
            </w:tcBorders>
          </w:tcPr>
          <w:p w14:paraId="12194AAE" w14:textId="66585747" w:rsidR="000D5162" w:rsidRPr="000B119E" w:rsidRDefault="00076EBB" w:rsidP="00F76801">
            <w:pPr>
              <w:spacing w:after="0" w:line="240" w:lineRule="auto"/>
              <w:rPr>
                <w:rFonts w:eastAsia="Calibri"/>
              </w:rPr>
            </w:pPr>
            <w:r>
              <w:rPr>
                <w:rFonts w:eastAsia="Calibri"/>
              </w:rPr>
              <w:t>Cambridge International Examinations</w:t>
            </w:r>
          </w:p>
        </w:tc>
      </w:tr>
      <w:tr w:rsidR="00076EBB" w:rsidRPr="000B119E" w14:paraId="6313B1A6" w14:textId="77777777" w:rsidTr="4D007418">
        <w:trPr>
          <w:cnfStyle w:val="000000010000" w:firstRow="0" w:lastRow="0" w:firstColumn="0" w:lastColumn="0" w:oddVBand="0" w:evenVBand="0" w:oddHBand="0" w:evenHBand="1" w:firstRowFirstColumn="0" w:firstRowLastColumn="0" w:lastRowFirstColumn="0" w:lastRowLastColumn="0"/>
        </w:trPr>
        <w:tc>
          <w:tcPr>
            <w:tcW w:w="10070" w:type="dxa"/>
            <w:gridSpan w:val="2"/>
            <w:tcBorders>
              <w:top w:val="single" w:sz="4" w:space="0" w:color="auto"/>
              <w:left w:val="single" w:sz="4" w:space="0" w:color="auto"/>
              <w:bottom w:val="single" w:sz="4" w:space="0" w:color="auto"/>
              <w:right w:val="single" w:sz="4" w:space="0" w:color="auto"/>
            </w:tcBorders>
            <w:shd w:val="clear" w:color="auto" w:fill="002060"/>
          </w:tcPr>
          <w:p w14:paraId="39D2B26C" w14:textId="338065C2" w:rsidR="00076EBB" w:rsidRPr="00824275" w:rsidRDefault="00824275" w:rsidP="00F76801">
            <w:pPr>
              <w:spacing w:after="0" w:line="240" w:lineRule="auto"/>
              <w:rPr>
                <w:rFonts w:eastAsia="Calibri"/>
                <w:b/>
                <w:bCs w:val="0"/>
                <w:color w:val="FFFFFF" w:themeColor="background1"/>
              </w:rPr>
            </w:pPr>
            <w:r>
              <w:rPr>
                <w:rFonts w:eastAsia="Calibri"/>
                <w:b/>
                <w:bCs w:val="0"/>
                <w:color w:val="FFFFFF" w:themeColor="background1"/>
              </w:rPr>
              <w:t>College Level Exam</w:t>
            </w:r>
            <w:r w:rsidR="003C1DC6">
              <w:rPr>
                <w:rFonts w:eastAsia="Calibri"/>
                <w:b/>
                <w:bCs w:val="0"/>
                <w:color w:val="FFFFFF" w:themeColor="background1"/>
              </w:rPr>
              <w:t xml:space="preserve"> Program (CLEP)</w:t>
            </w:r>
          </w:p>
        </w:tc>
      </w:tr>
      <w:tr w:rsidR="00076EBB" w:rsidRPr="000B119E" w14:paraId="67759F1E"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top w:val="single" w:sz="4" w:space="0" w:color="auto"/>
            </w:tcBorders>
          </w:tcPr>
          <w:p w14:paraId="05931409" w14:textId="77777777" w:rsidR="00076EBB" w:rsidRPr="000B119E" w:rsidRDefault="00076EBB" w:rsidP="00F76801">
            <w:pPr>
              <w:spacing w:after="0" w:line="240" w:lineRule="auto"/>
              <w:rPr>
                <w:rFonts w:eastAsia="Calibri"/>
              </w:rPr>
            </w:pPr>
            <w:r>
              <w:rPr>
                <w:rFonts w:eastAsia="Calibri"/>
              </w:rPr>
              <w:t>Description</w:t>
            </w:r>
          </w:p>
        </w:tc>
        <w:tc>
          <w:tcPr>
            <w:tcW w:w="7553" w:type="dxa"/>
            <w:tcBorders>
              <w:top w:val="single" w:sz="4" w:space="0" w:color="auto"/>
            </w:tcBorders>
          </w:tcPr>
          <w:p w14:paraId="767451DE" w14:textId="3A61EA38" w:rsidR="00076EBB" w:rsidRPr="000B119E" w:rsidRDefault="003C1DC6" w:rsidP="00F76801">
            <w:pPr>
              <w:spacing w:after="0" w:line="240" w:lineRule="auto"/>
              <w:rPr>
                <w:rFonts w:eastAsia="Calibri"/>
              </w:rPr>
            </w:pPr>
            <w:r>
              <w:rPr>
                <w:rFonts w:eastAsia="Calibri"/>
              </w:rPr>
              <w:t xml:space="preserve">Exams are used to assess mastery of postsecondary-level material acquired in a variety of ways – through general academic instructions, significant independent </w:t>
            </w:r>
            <w:proofErr w:type="gramStart"/>
            <w:r>
              <w:rPr>
                <w:rFonts w:eastAsia="Calibri"/>
              </w:rPr>
              <w:t>study</w:t>
            </w:r>
            <w:proofErr w:type="gramEnd"/>
            <w:r>
              <w:rPr>
                <w:rFonts w:eastAsia="Calibri"/>
              </w:rPr>
              <w:t xml:space="preserve"> or extracurricular</w:t>
            </w:r>
            <w:r w:rsidR="00A6596C">
              <w:rPr>
                <w:rFonts w:eastAsia="Calibri"/>
              </w:rPr>
              <w:t xml:space="preserve"> work. Students can earn credit for postsecondary coursework in a specific subject. </w:t>
            </w:r>
            <w:r>
              <w:rPr>
                <w:rFonts w:eastAsia="Calibri"/>
              </w:rPr>
              <w:t xml:space="preserve"> </w:t>
            </w:r>
          </w:p>
        </w:tc>
      </w:tr>
      <w:tr w:rsidR="00076EBB" w:rsidRPr="000B119E" w14:paraId="52DA1C0E" w14:textId="77777777" w:rsidTr="4D007418">
        <w:trPr>
          <w:cnfStyle w:val="000000010000" w:firstRow="0" w:lastRow="0" w:firstColumn="0" w:lastColumn="0" w:oddVBand="0" w:evenVBand="0" w:oddHBand="0" w:evenHBand="1" w:firstRowFirstColumn="0" w:firstRowLastColumn="0" w:lastRowFirstColumn="0" w:lastRowLastColumn="0"/>
        </w:trPr>
        <w:tc>
          <w:tcPr>
            <w:tcW w:w="2517" w:type="dxa"/>
          </w:tcPr>
          <w:p w14:paraId="26662A47" w14:textId="77777777" w:rsidR="00076EBB" w:rsidRPr="000B119E" w:rsidRDefault="00076EBB" w:rsidP="00F76801">
            <w:pPr>
              <w:spacing w:after="0" w:line="240" w:lineRule="auto"/>
              <w:rPr>
                <w:rFonts w:eastAsia="Calibri"/>
              </w:rPr>
            </w:pPr>
            <w:r>
              <w:rPr>
                <w:rFonts w:eastAsia="Calibri"/>
              </w:rPr>
              <w:t>Structure</w:t>
            </w:r>
          </w:p>
        </w:tc>
        <w:tc>
          <w:tcPr>
            <w:tcW w:w="7553" w:type="dxa"/>
          </w:tcPr>
          <w:p w14:paraId="38709A3E" w14:textId="60274E78" w:rsidR="00076EBB" w:rsidRPr="000B119E" w:rsidRDefault="00A6596C" w:rsidP="00F76801">
            <w:pPr>
              <w:spacing w:after="0" w:line="240" w:lineRule="auto"/>
              <w:rPr>
                <w:rFonts w:eastAsia="Calibri"/>
              </w:rPr>
            </w:pPr>
            <w:r>
              <w:rPr>
                <w:rFonts w:eastAsia="Calibri"/>
              </w:rPr>
              <w:t>Exam</w:t>
            </w:r>
          </w:p>
        </w:tc>
      </w:tr>
      <w:tr w:rsidR="00076EBB" w:rsidRPr="000B119E" w14:paraId="1B3722D4"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bottom w:val="single" w:sz="4" w:space="0" w:color="auto"/>
            </w:tcBorders>
          </w:tcPr>
          <w:p w14:paraId="147335A2" w14:textId="77777777" w:rsidR="00076EBB" w:rsidRPr="000B119E" w:rsidRDefault="00076EBB" w:rsidP="00F76801">
            <w:pPr>
              <w:spacing w:after="0" w:line="240" w:lineRule="auto"/>
              <w:rPr>
                <w:rFonts w:eastAsia="Calibri"/>
              </w:rPr>
            </w:pPr>
            <w:r>
              <w:rPr>
                <w:rFonts w:eastAsia="Calibri"/>
              </w:rPr>
              <w:t>Provider</w:t>
            </w:r>
          </w:p>
        </w:tc>
        <w:tc>
          <w:tcPr>
            <w:tcW w:w="7553" w:type="dxa"/>
            <w:tcBorders>
              <w:bottom w:val="single" w:sz="4" w:space="0" w:color="auto"/>
            </w:tcBorders>
          </w:tcPr>
          <w:p w14:paraId="22DD3496" w14:textId="50530CC5" w:rsidR="00076EBB" w:rsidRPr="000B119E" w:rsidRDefault="00A6596C" w:rsidP="00F76801">
            <w:pPr>
              <w:spacing w:after="0" w:line="240" w:lineRule="auto"/>
              <w:rPr>
                <w:rFonts w:eastAsia="Calibri"/>
              </w:rPr>
            </w:pPr>
            <w:r>
              <w:rPr>
                <w:rFonts w:eastAsia="Calibri"/>
              </w:rPr>
              <w:t>The College Board</w:t>
            </w:r>
          </w:p>
        </w:tc>
      </w:tr>
      <w:tr w:rsidR="00A6596C" w:rsidRPr="000B119E" w14:paraId="17527170" w14:textId="77777777" w:rsidTr="4D007418">
        <w:trPr>
          <w:cnfStyle w:val="000000010000" w:firstRow="0" w:lastRow="0" w:firstColumn="0" w:lastColumn="0" w:oddVBand="0" w:evenVBand="0" w:oddHBand="0" w:evenHBand="1" w:firstRowFirstColumn="0" w:firstRowLastColumn="0" w:lastRowFirstColumn="0" w:lastRowLastColumn="0"/>
        </w:trPr>
        <w:tc>
          <w:tcPr>
            <w:tcW w:w="10070" w:type="dxa"/>
            <w:gridSpan w:val="2"/>
            <w:tcBorders>
              <w:top w:val="single" w:sz="4" w:space="0" w:color="auto"/>
              <w:left w:val="single" w:sz="4" w:space="0" w:color="auto"/>
              <w:bottom w:val="single" w:sz="4" w:space="0" w:color="auto"/>
              <w:right w:val="single" w:sz="4" w:space="0" w:color="auto"/>
            </w:tcBorders>
            <w:shd w:val="clear" w:color="auto" w:fill="002060"/>
          </w:tcPr>
          <w:p w14:paraId="1D1DB26B" w14:textId="770111BF" w:rsidR="00A6596C" w:rsidRPr="00A6596C" w:rsidRDefault="00A6596C" w:rsidP="00F76801">
            <w:pPr>
              <w:spacing w:after="0" w:line="240" w:lineRule="auto"/>
              <w:rPr>
                <w:rFonts w:eastAsia="Calibri"/>
                <w:b/>
                <w:bCs w:val="0"/>
                <w:color w:val="FFFFFF" w:themeColor="background1"/>
              </w:rPr>
            </w:pPr>
            <w:r>
              <w:rPr>
                <w:rFonts w:eastAsia="Calibri"/>
                <w:b/>
                <w:bCs w:val="0"/>
                <w:color w:val="FFFFFF" w:themeColor="background1"/>
              </w:rPr>
              <w:t>Dual Enrollment (DE)</w:t>
            </w:r>
          </w:p>
        </w:tc>
      </w:tr>
      <w:tr w:rsidR="00A6596C" w:rsidRPr="000B119E" w14:paraId="1A38215A"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top w:val="single" w:sz="4" w:space="0" w:color="auto"/>
            </w:tcBorders>
          </w:tcPr>
          <w:p w14:paraId="50D6A2DD" w14:textId="77777777" w:rsidR="00A6596C" w:rsidRPr="000B119E" w:rsidRDefault="00A6596C" w:rsidP="00F76801">
            <w:pPr>
              <w:spacing w:after="0" w:line="240" w:lineRule="auto"/>
              <w:rPr>
                <w:rFonts w:eastAsia="Calibri"/>
              </w:rPr>
            </w:pPr>
            <w:r>
              <w:rPr>
                <w:rFonts w:eastAsia="Calibri"/>
              </w:rPr>
              <w:t>Description</w:t>
            </w:r>
          </w:p>
        </w:tc>
        <w:tc>
          <w:tcPr>
            <w:tcW w:w="7553" w:type="dxa"/>
            <w:tcBorders>
              <w:top w:val="single" w:sz="4" w:space="0" w:color="auto"/>
            </w:tcBorders>
          </w:tcPr>
          <w:p w14:paraId="5532D592" w14:textId="16067685" w:rsidR="00A6596C" w:rsidRPr="000B119E" w:rsidRDefault="00A83CBF" w:rsidP="00F76801">
            <w:pPr>
              <w:spacing w:after="0" w:line="240" w:lineRule="auto"/>
              <w:rPr>
                <w:rFonts w:eastAsia="Calibri"/>
              </w:rPr>
            </w:pPr>
            <w:r>
              <w:rPr>
                <w:rFonts w:eastAsia="Calibri"/>
              </w:rPr>
              <w:t xml:space="preserve">Postsecondary course taught by postsecondary faculty or credentialed adjunct faculty. Students are enrolled at the postsecondary institution and earn postsecondary credit upon completion of the course. </w:t>
            </w:r>
          </w:p>
        </w:tc>
      </w:tr>
      <w:tr w:rsidR="00A6596C" w:rsidRPr="000B119E" w14:paraId="26436DF3" w14:textId="77777777" w:rsidTr="4D007418">
        <w:trPr>
          <w:cnfStyle w:val="000000010000" w:firstRow="0" w:lastRow="0" w:firstColumn="0" w:lastColumn="0" w:oddVBand="0" w:evenVBand="0" w:oddHBand="0" w:evenHBand="1" w:firstRowFirstColumn="0" w:firstRowLastColumn="0" w:lastRowFirstColumn="0" w:lastRowLastColumn="0"/>
        </w:trPr>
        <w:tc>
          <w:tcPr>
            <w:tcW w:w="2517" w:type="dxa"/>
          </w:tcPr>
          <w:p w14:paraId="76642EF7" w14:textId="77777777" w:rsidR="00A6596C" w:rsidRPr="000B119E" w:rsidRDefault="00A6596C" w:rsidP="00F76801">
            <w:pPr>
              <w:spacing w:after="0" w:line="240" w:lineRule="auto"/>
              <w:rPr>
                <w:rFonts w:eastAsia="Calibri"/>
              </w:rPr>
            </w:pPr>
            <w:r>
              <w:rPr>
                <w:rFonts w:eastAsia="Calibri"/>
              </w:rPr>
              <w:t>Structure</w:t>
            </w:r>
          </w:p>
        </w:tc>
        <w:tc>
          <w:tcPr>
            <w:tcW w:w="7553" w:type="dxa"/>
          </w:tcPr>
          <w:p w14:paraId="7C6ABF8D" w14:textId="3DAF068F" w:rsidR="00A6596C" w:rsidRPr="000B119E" w:rsidRDefault="00A83CBF" w:rsidP="00F76801">
            <w:pPr>
              <w:spacing w:after="0" w:line="240" w:lineRule="auto"/>
              <w:rPr>
                <w:rFonts w:eastAsia="Calibri"/>
              </w:rPr>
            </w:pPr>
            <w:r>
              <w:rPr>
                <w:rFonts w:eastAsia="Calibri"/>
              </w:rPr>
              <w:t>Course</w:t>
            </w:r>
          </w:p>
        </w:tc>
      </w:tr>
      <w:tr w:rsidR="00A6596C" w:rsidRPr="000B119E" w14:paraId="27A366CB"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bottom w:val="single" w:sz="4" w:space="0" w:color="auto"/>
            </w:tcBorders>
          </w:tcPr>
          <w:p w14:paraId="03DDC225" w14:textId="77777777" w:rsidR="00A6596C" w:rsidRPr="000B119E" w:rsidRDefault="00A6596C" w:rsidP="00F76801">
            <w:pPr>
              <w:spacing w:after="0" w:line="240" w:lineRule="auto"/>
              <w:rPr>
                <w:rFonts w:eastAsia="Calibri"/>
              </w:rPr>
            </w:pPr>
            <w:r>
              <w:rPr>
                <w:rFonts w:eastAsia="Calibri"/>
              </w:rPr>
              <w:t>Provider</w:t>
            </w:r>
          </w:p>
        </w:tc>
        <w:tc>
          <w:tcPr>
            <w:tcW w:w="7553" w:type="dxa"/>
            <w:tcBorders>
              <w:bottom w:val="single" w:sz="4" w:space="0" w:color="auto"/>
            </w:tcBorders>
          </w:tcPr>
          <w:p w14:paraId="6D6DC820" w14:textId="34B6E4F4" w:rsidR="00A6596C" w:rsidRPr="000B119E" w:rsidRDefault="00A83CBF" w:rsidP="00F76801">
            <w:pPr>
              <w:spacing w:after="0" w:line="240" w:lineRule="auto"/>
              <w:rPr>
                <w:rFonts w:eastAsia="Calibri"/>
              </w:rPr>
            </w:pPr>
            <w:r>
              <w:rPr>
                <w:rFonts w:eastAsia="Calibri"/>
              </w:rPr>
              <w:t>Individual Tennessee postsecondary institutions</w:t>
            </w:r>
          </w:p>
        </w:tc>
      </w:tr>
      <w:tr w:rsidR="00A83CBF" w:rsidRPr="000B119E" w14:paraId="57C465F7" w14:textId="77777777" w:rsidTr="4D007418">
        <w:trPr>
          <w:cnfStyle w:val="000000010000" w:firstRow="0" w:lastRow="0" w:firstColumn="0" w:lastColumn="0" w:oddVBand="0" w:evenVBand="0" w:oddHBand="0" w:evenHBand="1" w:firstRowFirstColumn="0" w:firstRowLastColumn="0" w:lastRowFirstColumn="0" w:lastRowLastColumn="0"/>
        </w:trPr>
        <w:tc>
          <w:tcPr>
            <w:tcW w:w="10070" w:type="dxa"/>
            <w:gridSpan w:val="2"/>
            <w:tcBorders>
              <w:top w:val="single" w:sz="4" w:space="0" w:color="auto"/>
              <w:left w:val="single" w:sz="4" w:space="0" w:color="auto"/>
              <w:bottom w:val="single" w:sz="4" w:space="0" w:color="auto"/>
              <w:right w:val="single" w:sz="4" w:space="0" w:color="auto"/>
            </w:tcBorders>
            <w:shd w:val="clear" w:color="auto" w:fill="002060"/>
          </w:tcPr>
          <w:p w14:paraId="677A3EB4" w14:textId="580A1B0D" w:rsidR="00A83CBF" w:rsidRPr="00A83CBF" w:rsidRDefault="00A83CBF" w:rsidP="00F76801">
            <w:pPr>
              <w:spacing w:after="0" w:line="240" w:lineRule="auto"/>
              <w:rPr>
                <w:rFonts w:eastAsia="Calibri"/>
                <w:b/>
                <w:bCs w:val="0"/>
                <w:color w:val="FFFFFF" w:themeColor="background1"/>
              </w:rPr>
            </w:pPr>
            <w:r>
              <w:rPr>
                <w:rFonts w:eastAsia="Calibri"/>
                <w:b/>
                <w:bCs w:val="0"/>
                <w:color w:val="FFFFFF" w:themeColor="background1"/>
              </w:rPr>
              <w:t>Local Dual Credit (LDC)</w:t>
            </w:r>
          </w:p>
        </w:tc>
      </w:tr>
      <w:tr w:rsidR="00A83CBF" w:rsidRPr="000B119E" w14:paraId="73075438"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top w:val="single" w:sz="4" w:space="0" w:color="auto"/>
            </w:tcBorders>
          </w:tcPr>
          <w:p w14:paraId="2488A81F" w14:textId="77777777" w:rsidR="00A83CBF" w:rsidRPr="000B119E" w:rsidRDefault="00A83CBF" w:rsidP="00F76801">
            <w:pPr>
              <w:spacing w:after="0" w:line="240" w:lineRule="auto"/>
              <w:rPr>
                <w:rFonts w:eastAsia="Calibri"/>
              </w:rPr>
            </w:pPr>
            <w:r>
              <w:rPr>
                <w:rFonts w:eastAsia="Calibri"/>
              </w:rPr>
              <w:t>Description</w:t>
            </w:r>
          </w:p>
        </w:tc>
        <w:tc>
          <w:tcPr>
            <w:tcW w:w="7553" w:type="dxa"/>
            <w:tcBorders>
              <w:top w:val="single" w:sz="4" w:space="0" w:color="auto"/>
            </w:tcBorders>
          </w:tcPr>
          <w:p w14:paraId="29A67C9D" w14:textId="17DA7876" w:rsidR="00A83CBF" w:rsidRPr="000B119E" w:rsidRDefault="1C63D1E0" w:rsidP="00F76801">
            <w:pPr>
              <w:spacing w:after="0" w:line="240" w:lineRule="auto"/>
              <w:rPr>
                <w:rFonts w:eastAsia="Calibri"/>
              </w:rPr>
            </w:pPr>
            <w:r w:rsidRPr="4D007418">
              <w:rPr>
                <w:rFonts w:eastAsia="Calibri"/>
              </w:rPr>
              <w:t>High school course aligned to a local postsecondary institution’s course and exam. Students who pass the exam earn credit</w:t>
            </w:r>
            <w:r w:rsidR="071F681D" w:rsidRPr="4D007418">
              <w:rPr>
                <w:rFonts w:eastAsia="Calibri"/>
              </w:rPr>
              <w:t>s</w:t>
            </w:r>
            <w:r w:rsidRPr="4D007418">
              <w:rPr>
                <w:rFonts w:eastAsia="Calibri"/>
              </w:rPr>
              <w:t xml:space="preserve"> that are accepted and/or recognized by the local postsecondary institution. </w:t>
            </w:r>
          </w:p>
        </w:tc>
      </w:tr>
      <w:tr w:rsidR="00A83CBF" w:rsidRPr="000B119E" w14:paraId="61F12935" w14:textId="77777777" w:rsidTr="4D007418">
        <w:trPr>
          <w:cnfStyle w:val="000000010000" w:firstRow="0" w:lastRow="0" w:firstColumn="0" w:lastColumn="0" w:oddVBand="0" w:evenVBand="0" w:oddHBand="0" w:evenHBand="1" w:firstRowFirstColumn="0" w:firstRowLastColumn="0" w:lastRowFirstColumn="0" w:lastRowLastColumn="0"/>
        </w:trPr>
        <w:tc>
          <w:tcPr>
            <w:tcW w:w="2517" w:type="dxa"/>
          </w:tcPr>
          <w:p w14:paraId="7B36E997" w14:textId="77777777" w:rsidR="00A83CBF" w:rsidRPr="000B119E" w:rsidRDefault="00A83CBF" w:rsidP="00F76801">
            <w:pPr>
              <w:spacing w:after="0" w:line="240" w:lineRule="auto"/>
              <w:rPr>
                <w:rFonts w:eastAsia="Calibri"/>
              </w:rPr>
            </w:pPr>
            <w:r>
              <w:rPr>
                <w:rFonts w:eastAsia="Calibri"/>
              </w:rPr>
              <w:t>Structure</w:t>
            </w:r>
          </w:p>
        </w:tc>
        <w:tc>
          <w:tcPr>
            <w:tcW w:w="7553" w:type="dxa"/>
          </w:tcPr>
          <w:p w14:paraId="04AC52CD" w14:textId="18F6A738" w:rsidR="00A83CBF" w:rsidRPr="000B119E" w:rsidRDefault="00A83CBF" w:rsidP="00F76801">
            <w:pPr>
              <w:spacing w:after="0" w:line="240" w:lineRule="auto"/>
              <w:rPr>
                <w:rFonts w:eastAsia="Calibri"/>
              </w:rPr>
            </w:pPr>
            <w:r>
              <w:rPr>
                <w:rFonts w:eastAsia="Calibri"/>
              </w:rPr>
              <w:t>Course and exam</w:t>
            </w:r>
          </w:p>
        </w:tc>
      </w:tr>
      <w:tr w:rsidR="00A83CBF" w:rsidRPr="000B119E" w14:paraId="5CA4DEF3"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Pr>
          <w:p w14:paraId="7BC6D2EE" w14:textId="77777777" w:rsidR="00A83CBF" w:rsidRPr="000B119E" w:rsidRDefault="00A83CBF" w:rsidP="00F76801">
            <w:pPr>
              <w:spacing w:after="0" w:line="240" w:lineRule="auto"/>
              <w:rPr>
                <w:rFonts w:eastAsia="Calibri"/>
              </w:rPr>
            </w:pPr>
            <w:r>
              <w:rPr>
                <w:rFonts w:eastAsia="Calibri"/>
              </w:rPr>
              <w:t>Provider</w:t>
            </w:r>
          </w:p>
        </w:tc>
        <w:tc>
          <w:tcPr>
            <w:tcW w:w="7553" w:type="dxa"/>
          </w:tcPr>
          <w:p w14:paraId="1596FE42" w14:textId="72152D32" w:rsidR="00A83CBF" w:rsidRPr="000B119E" w:rsidRDefault="00A83CBF" w:rsidP="00F76801">
            <w:pPr>
              <w:spacing w:after="0" w:line="240" w:lineRule="auto"/>
              <w:rPr>
                <w:rFonts w:eastAsia="Calibri"/>
              </w:rPr>
            </w:pPr>
            <w:r>
              <w:rPr>
                <w:rFonts w:eastAsia="Calibri"/>
              </w:rPr>
              <w:t>Individual Tennessee postsecondary institutions</w:t>
            </w:r>
          </w:p>
        </w:tc>
      </w:tr>
    </w:tbl>
    <w:p w14:paraId="7E05DEDB" w14:textId="00B758E8" w:rsidR="00013579" w:rsidRDefault="00013579" w:rsidP="00822269">
      <w:pPr>
        <w:spacing w:line="276" w:lineRule="auto"/>
        <w:rPr>
          <w:sz w:val="20"/>
          <w:szCs w:val="20"/>
        </w:rPr>
      </w:pPr>
    </w:p>
    <w:tbl>
      <w:tblPr>
        <w:tblStyle w:val="TDOETable1"/>
        <w:tblW w:w="0" w:type="auto"/>
        <w:tblLook w:val="04A0" w:firstRow="1" w:lastRow="0" w:firstColumn="1" w:lastColumn="0" w:noHBand="0" w:noVBand="1"/>
      </w:tblPr>
      <w:tblGrid>
        <w:gridCol w:w="2517"/>
        <w:gridCol w:w="7553"/>
      </w:tblGrid>
      <w:tr w:rsidR="00C40575" w:rsidRPr="000B119E" w14:paraId="2A25DEC3" w14:textId="77777777" w:rsidTr="4D007418">
        <w:trPr>
          <w:cnfStyle w:val="100000000000" w:firstRow="1" w:lastRow="0" w:firstColumn="0" w:lastColumn="0" w:oddVBand="0" w:evenVBand="0" w:oddHBand="0" w:evenHBand="0" w:firstRowFirstColumn="0" w:firstRowLastColumn="0" w:lastRowFirstColumn="0" w:lastRowLastColumn="0"/>
          <w:tblHeader/>
        </w:trPr>
        <w:tc>
          <w:tcPr>
            <w:tcW w:w="10070" w:type="dxa"/>
            <w:gridSpan w:val="2"/>
            <w:tcBorders>
              <w:top w:val="single" w:sz="4" w:space="0" w:color="auto"/>
              <w:left w:val="single" w:sz="4" w:space="0" w:color="auto"/>
              <w:bottom w:val="single" w:sz="4" w:space="0" w:color="auto"/>
              <w:right w:val="single" w:sz="4" w:space="0" w:color="auto"/>
            </w:tcBorders>
            <w:shd w:val="clear" w:color="auto" w:fill="002060"/>
          </w:tcPr>
          <w:p w14:paraId="5B35630D" w14:textId="6E047301" w:rsidR="00C40575" w:rsidRPr="000B119E" w:rsidRDefault="00C40575" w:rsidP="00F76801">
            <w:pPr>
              <w:spacing w:after="0" w:line="240" w:lineRule="auto"/>
              <w:rPr>
                <w:rFonts w:eastAsia="Calibri"/>
              </w:rPr>
            </w:pPr>
            <w:r>
              <w:rPr>
                <w:rFonts w:eastAsia="Calibri"/>
              </w:rPr>
              <w:lastRenderedPageBreak/>
              <w:t>Statewide Dual Credi</w:t>
            </w:r>
            <w:r w:rsidR="00DF6E86">
              <w:rPr>
                <w:rFonts w:eastAsia="Calibri"/>
              </w:rPr>
              <w:t>t</w:t>
            </w:r>
          </w:p>
        </w:tc>
      </w:tr>
      <w:tr w:rsidR="00C40575" w:rsidRPr="000B119E" w14:paraId="46984704"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top w:val="single" w:sz="4" w:space="0" w:color="auto"/>
            </w:tcBorders>
          </w:tcPr>
          <w:p w14:paraId="09DFAE0B" w14:textId="77777777" w:rsidR="00C40575" w:rsidRPr="000B119E" w:rsidRDefault="00C40575" w:rsidP="00F76801">
            <w:pPr>
              <w:spacing w:after="0" w:line="240" w:lineRule="auto"/>
              <w:rPr>
                <w:rFonts w:eastAsia="Calibri"/>
              </w:rPr>
            </w:pPr>
            <w:r>
              <w:rPr>
                <w:rFonts w:eastAsia="Calibri"/>
              </w:rPr>
              <w:t>Description</w:t>
            </w:r>
          </w:p>
        </w:tc>
        <w:tc>
          <w:tcPr>
            <w:tcW w:w="7553" w:type="dxa"/>
            <w:tcBorders>
              <w:top w:val="single" w:sz="4" w:space="0" w:color="auto"/>
            </w:tcBorders>
          </w:tcPr>
          <w:p w14:paraId="65248F3F" w14:textId="10223733" w:rsidR="00C40575" w:rsidRPr="000B119E" w:rsidRDefault="00C40575" w:rsidP="00F76801">
            <w:pPr>
              <w:spacing w:after="0" w:line="240" w:lineRule="auto"/>
              <w:rPr>
                <w:rFonts w:eastAsia="Calibri"/>
              </w:rPr>
            </w:pPr>
            <w:r>
              <w:rPr>
                <w:rFonts w:eastAsia="Calibri"/>
              </w:rPr>
              <w:t xml:space="preserve">High school course aligned to Tennessee postsecondary standards and challenge exam, developed by Tennessee secondary and postsecondary faculty. Students who pass the exam earn </w:t>
            </w:r>
            <w:r w:rsidR="00DF6E86">
              <w:rPr>
                <w:rFonts w:eastAsia="Calibri"/>
              </w:rPr>
              <w:t xml:space="preserve">credits that are accepted by all Tennessee public postsecondary institutions. </w:t>
            </w:r>
          </w:p>
        </w:tc>
      </w:tr>
      <w:tr w:rsidR="00C40575" w:rsidRPr="000B119E" w14:paraId="58A49960" w14:textId="77777777" w:rsidTr="4D007418">
        <w:trPr>
          <w:cnfStyle w:val="000000010000" w:firstRow="0" w:lastRow="0" w:firstColumn="0" w:lastColumn="0" w:oddVBand="0" w:evenVBand="0" w:oddHBand="0" w:evenHBand="1" w:firstRowFirstColumn="0" w:firstRowLastColumn="0" w:lastRowFirstColumn="0" w:lastRowLastColumn="0"/>
        </w:trPr>
        <w:tc>
          <w:tcPr>
            <w:tcW w:w="2517" w:type="dxa"/>
          </w:tcPr>
          <w:p w14:paraId="5AE94A34" w14:textId="77777777" w:rsidR="00C40575" w:rsidRPr="000B119E" w:rsidRDefault="00C40575" w:rsidP="00F76801">
            <w:pPr>
              <w:spacing w:after="0" w:line="240" w:lineRule="auto"/>
              <w:rPr>
                <w:rFonts w:eastAsia="Calibri"/>
              </w:rPr>
            </w:pPr>
            <w:r>
              <w:rPr>
                <w:rFonts w:eastAsia="Calibri"/>
              </w:rPr>
              <w:t>Structure</w:t>
            </w:r>
          </w:p>
        </w:tc>
        <w:tc>
          <w:tcPr>
            <w:tcW w:w="7553" w:type="dxa"/>
          </w:tcPr>
          <w:p w14:paraId="42D0A05B" w14:textId="63B057BD" w:rsidR="00C40575" w:rsidRPr="000B119E" w:rsidRDefault="00DF6E86" w:rsidP="00F76801">
            <w:pPr>
              <w:spacing w:after="0" w:line="240" w:lineRule="auto"/>
              <w:rPr>
                <w:rFonts w:eastAsia="Calibri"/>
              </w:rPr>
            </w:pPr>
            <w:r>
              <w:rPr>
                <w:rFonts w:eastAsia="Calibri"/>
              </w:rPr>
              <w:t>Course and exam</w:t>
            </w:r>
          </w:p>
        </w:tc>
      </w:tr>
      <w:tr w:rsidR="00C40575" w:rsidRPr="000B119E" w14:paraId="2A874290"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bottom w:val="single" w:sz="4" w:space="0" w:color="auto"/>
            </w:tcBorders>
          </w:tcPr>
          <w:p w14:paraId="3D9CDB4E" w14:textId="77777777" w:rsidR="00C40575" w:rsidRPr="000B119E" w:rsidRDefault="00C40575" w:rsidP="00F76801">
            <w:pPr>
              <w:spacing w:after="0" w:line="240" w:lineRule="auto"/>
              <w:rPr>
                <w:rFonts w:eastAsia="Calibri"/>
              </w:rPr>
            </w:pPr>
            <w:r>
              <w:rPr>
                <w:rFonts w:eastAsia="Calibri"/>
              </w:rPr>
              <w:t>Provider</w:t>
            </w:r>
          </w:p>
        </w:tc>
        <w:tc>
          <w:tcPr>
            <w:tcW w:w="7553" w:type="dxa"/>
            <w:tcBorders>
              <w:bottom w:val="single" w:sz="4" w:space="0" w:color="auto"/>
            </w:tcBorders>
          </w:tcPr>
          <w:p w14:paraId="45961A99" w14:textId="1E1578E0" w:rsidR="00C40575" w:rsidRPr="000B119E" w:rsidRDefault="00DF6E86" w:rsidP="00F76801">
            <w:pPr>
              <w:spacing w:after="0" w:line="240" w:lineRule="auto"/>
              <w:rPr>
                <w:rFonts w:eastAsia="Calibri"/>
              </w:rPr>
            </w:pPr>
            <w:r>
              <w:rPr>
                <w:rFonts w:eastAsia="Calibri"/>
              </w:rPr>
              <w:t>Tennessee Department of Education</w:t>
            </w:r>
          </w:p>
        </w:tc>
      </w:tr>
      <w:tr w:rsidR="00DF6E86" w:rsidRPr="000B119E" w14:paraId="0AECE334" w14:textId="77777777" w:rsidTr="4D007418">
        <w:trPr>
          <w:cnfStyle w:val="000000010000" w:firstRow="0" w:lastRow="0" w:firstColumn="0" w:lastColumn="0" w:oddVBand="0" w:evenVBand="0" w:oddHBand="0" w:evenHBand="1" w:firstRowFirstColumn="0" w:firstRowLastColumn="0" w:lastRowFirstColumn="0" w:lastRowLastColumn="0"/>
          <w:tblHeader/>
        </w:trPr>
        <w:tc>
          <w:tcPr>
            <w:tcW w:w="10070" w:type="dxa"/>
            <w:gridSpan w:val="2"/>
            <w:tcBorders>
              <w:top w:val="single" w:sz="4" w:space="0" w:color="auto"/>
              <w:left w:val="single" w:sz="4" w:space="0" w:color="auto"/>
              <w:bottom w:val="single" w:sz="4" w:space="0" w:color="auto"/>
              <w:right w:val="single" w:sz="4" w:space="0" w:color="auto"/>
            </w:tcBorders>
            <w:shd w:val="clear" w:color="auto" w:fill="002060"/>
          </w:tcPr>
          <w:p w14:paraId="496D8DFC" w14:textId="4B91A641" w:rsidR="00DF6E86" w:rsidRPr="00DF6E86" w:rsidRDefault="00DF6E86" w:rsidP="00F76801">
            <w:pPr>
              <w:spacing w:after="0" w:line="240" w:lineRule="auto"/>
              <w:rPr>
                <w:rFonts w:eastAsia="Calibri"/>
                <w:b/>
                <w:bCs w:val="0"/>
                <w:color w:val="FFFFFF" w:themeColor="background1"/>
              </w:rPr>
            </w:pPr>
            <w:r>
              <w:rPr>
                <w:rFonts w:eastAsia="Calibri"/>
                <w:b/>
                <w:bCs w:val="0"/>
                <w:color w:val="FFFFFF" w:themeColor="background1"/>
              </w:rPr>
              <w:t>Industry Certifications (IC)</w:t>
            </w:r>
          </w:p>
        </w:tc>
      </w:tr>
      <w:tr w:rsidR="00DF6E86" w:rsidRPr="000B119E" w14:paraId="1FDD5636"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Borders>
              <w:top w:val="single" w:sz="4" w:space="0" w:color="auto"/>
            </w:tcBorders>
          </w:tcPr>
          <w:p w14:paraId="3CD4EF86" w14:textId="77777777" w:rsidR="00DF6E86" w:rsidRPr="000B119E" w:rsidRDefault="00DF6E86" w:rsidP="00F76801">
            <w:pPr>
              <w:spacing w:after="0" w:line="240" w:lineRule="auto"/>
              <w:rPr>
                <w:rFonts w:eastAsia="Calibri"/>
              </w:rPr>
            </w:pPr>
            <w:r>
              <w:rPr>
                <w:rFonts w:eastAsia="Calibri"/>
              </w:rPr>
              <w:t>Description</w:t>
            </w:r>
          </w:p>
        </w:tc>
        <w:tc>
          <w:tcPr>
            <w:tcW w:w="7553" w:type="dxa"/>
            <w:tcBorders>
              <w:top w:val="single" w:sz="4" w:space="0" w:color="auto"/>
            </w:tcBorders>
          </w:tcPr>
          <w:p w14:paraId="4FF5B2E8" w14:textId="7260A295" w:rsidR="00DF6E86" w:rsidRPr="000B119E" w:rsidRDefault="6CF815E4" w:rsidP="00F76801">
            <w:pPr>
              <w:spacing w:after="0" w:line="240" w:lineRule="auto"/>
              <w:rPr>
                <w:rFonts w:eastAsia="Calibri"/>
              </w:rPr>
            </w:pPr>
            <w:r w:rsidRPr="4D007418">
              <w:rPr>
                <w:rFonts w:eastAsia="Calibri"/>
              </w:rPr>
              <w:t>Earned through secondary and postsecondary career and technical education programs and courses. High school students are enc</w:t>
            </w:r>
            <w:r w:rsidR="289F2E67" w:rsidRPr="4D007418">
              <w:rPr>
                <w:rFonts w:eastAsia="Calibri"/>
              </w:rPr>
              <w:t>our</w:t>
            </w:r>
            <w:r w:rsidRPr="4D007418">
              <w:rPr>
                <w:rFonts w:eastAsia="Calibri"/>
              </w:rPr>
              <w:t xml:space="preserve">aged to focus their elective credits on robust, career-aligned learning pathways. Robust learning pathways should culminate with the achievement of nationally recognized industry certifications; meaningful work-based learning experiences, and/or attainment of postsecondary credit hours through early postsecondary opportunities. </w:t>
            </w:r>
          </w:p>
        </w:tc>
      </w:tr>
      <w:tr w:rsidR="00DF6E86" w:rsidRPr="000B119E" w14:paraId="276FC254" w14:textId="77777777" w:rsidTr="4D007418">
        <w:trPr>
          <w:cnfStyle w:val="000000010000" w:firstRow="0" w:lastRow="0" w:firstColumn="0" w:lastColumn="0" w:oddVBand="0" w:evenVBand="0" w:oddHBand="0" w:evenHBand="1" w:firstRowFirstColumn="0" w:firstRowLastColumn="0" w:lastRowFirstColumn="0" w:lastRowLastColumn="0"/>
        </w:trPr>
        <w:tc>
          <w:tcPr>
            <w:tcW w:w="2517" w:type="dxa"/>
          </w:tcPr>
          <w:p w14:paraId="094106A0" w14:textId="77777777" w:rsidR="00DF6E86" w:rsidRPr="000B119E" w:rsidRDefault="00DF6E86" w:rsidP="00F76801">
            <w:pPr>
              <w:spacing w:after="0" w:line="240" w:lineRule="auto"/>
              <w:rPr>
                <w:rFonts w:eastAsia="Calibri"/>
              </w:rPr>
            </w:pPr>
            <w:r>
              <w:rPr>
                <w:rFonts w:eastAsia="Calibri"/>
              </w:rPr>
              <w:t>Structure</w:t>
            </w:r>
          </w:p>
        </w:tc>
        <w:tc>
          <w:tcPr>
            <w:tcW w:w="7553" w:type="dxa"/>
          </w:tcPr>
          <w:p w14:paraId="1EA7D3A9" w14:textId="356D32C1" w:rsidR="00DF6E86" w:rsidRPr="000B119E" w:rsidRDefault="00DF6E86" w:rsidP="00F76801">
            <w:pPr>
              <w:spacing w:after="0" w:line="240" w:lineRule="auto"/>
              <w:rPr>
                <w:rFonts w:eastAsia="Calibri"/>
              </w:rPr>
            </w:pPr>
            <w:r>
              <w:rPr>
                <w:rFonts w:eastAsia="Calibri"/>
              </w:rPr>
              <w:t>Exam</w:t>
            </w:r>
          </w:p>
        </w:tc>
      </w:tr>
      <w:tr w:rsidR="00DF6E86" w:rsidRPr="000B119E" w14:paraId="22606050" w14:textId="77777777" w:rsidTr="4D007418">
        <w:trPr>
          <w:cnfStyle w:val="000000100000" w:firstRow="0" w:lastRow="0" w:firstColumn="0" w:lastColumn="0" w:oddVBand="0" w:evenVBand="0" w:oddHBand="1" w:evenHBand="0" w:firstRowFirstColumn="0" w:firstRowLastColumn="0" w:lastRowFirstColumn="0" w:lastRowLastColumn="0"/>
        </w:trPr>
        <w:tc>
          <w:tcPr>
            <w:tcW w:w="2517" w:type="dxa"/>
          </w:tcPr>
          <w:p w14:paraId="057ED262" w14:textId="77777777" w:rsidR="00DF6E86" w:rsidRPr="000B119E" w:rsidRDefault="00DF6E86" w:rsidP="00F76801">
            <w:pPr>
              <w:spacing w:after="0" w:line="240" w:lineRule="auto"/>
              <w:rPr>
                <w:rFonts w:eastAsia="Calibri"/>
              </w:rPr>
            </w:pPr>
            <w:r>
              <w:rPr>
                <w:rFonts w:eastAsia="Calibri"/>
              </w:rPr>
              <w:t>Provider</w:t>
            </w:r>
          </w:p>
        </w:tc>
        <w:tc>
          <w:tcPr>
            <w:tcW w:w="7553" w:type="dxa"/>
          </w:tcPr>
          <w:p w14:paraId="6D59A01D" w14:textId="4F152EE3" w:rsidR="00DF6E86" w:rsidRPr="000B119E" w:rsidRDefault="00A31256" w:rsidP="00F76801">
            <w:pPr>
              <w:spacing w:after="0" w:line="240" w:lineRule="auto"/>
              <w:rPr>
                <w:rFonts w:eastAsia="Calibri"/>
              </w:rPr>
            </w:pPr>
            <w:r>
              <w:rPr>
                <w:rFonts w:eastAsia="Calibri"/>
              </w:rPr>
              <w:t>Industry</w:t>
            </w:r>
          </w:p>
        </w:tc>
      </w:tr>
    </w:tbl>
    <w:p w14:paraId="14DA62A6" w14:textId="77777777" w:rsidR="00C40575" w:rsidRPr="00060BAC" w:rsidRDefault="00C40575" w:rsidP="00822269">
      <w:pPr>
        <w:spacing w:line="276" w:lineRule="auto"/>
        <w:rPr>
          <w:sz w:val="20"/>
          <w:szCs w:val="20"/>
        </w:rPr>
      </w:pPr>
    </w:p>
    <w:p w14:paraId="33B2921B" w14:textId="426F4CE8" w:rsidR="00035FEB" w:rsidRPr="00822269" w:rsidRDefault="00822269" w:rsidP="00822269">
      <w:pPr>
        <w:spacing w:after="200" w:line="276" w:lineRule="auto"/>
        <w:rPr>
          <w:sz w:val="20"/>
          <w:szCs w:val="20"/>
        </w:rPr>
      </w:pPr>
      <w:r>
        <w:rPr>
          <w:sz w:val="20"/>
          <w:szCs w:val="20"/>
        </w:rPr>
        <w:br w:type="page"/>
      </w:r>
    </w:p>
    <w:p w14:paraId="649BDA71" w14:textId="151F26F3" w:rsidR="00035FEB" w:rsidRPr="00035FEB" w:rsidRDefault="0015613B" w:rsidP="002115D4">
      <w:pPr>
        <w:pStyle w:val="Heading1"/>
      </w:pPr>
      <w:r>
        <w:lastRenderedPageBreak/>
        <w:t>EPSO Week Resources</w:t>
      </w:r>
    </w:p>
    <w:p w14:paraId="4A180993" w14:textId="3B8AC836" w:rsidR="00035FEB" w:rsidRPr="00DA54D1" w:rsidRDefault="003C1F3F" w:rsidP="00DA54D1">
      <w:pPr>
        <w:rPr>
          <w:sz w:val="20"/>
          <w:szCs w:val="20"/>
        </w:rPr>
      </w:pPr>
      <w:r>
        <w:rPr>
          <w:sz w:val="20"/>
          <w:szCs w:val="20"/>
        </w:rPr>
        <w:t xml:space="preserve">Use these </w:t>
      </w:r>
      <w:r w:rsidR="00AF1F33">
        <w:rPr>
          <w:sz w:val="20"/>
          <w:szCs w:val="20"/>
        </w:rPr>
        <w:t xml:space="preserve">resources to support the planning, promotion, and </w:t>
      </w:r>
      <w:r w:rsidR="0033494C">
        <w:rPr>
          <w:sz w:val="20"/>
          <w:szCs w:val="20"/>
        </w:rPr>
        <w:t xml:space="preserve">execution of your EPSO Week. Be creative! These are meant to serve as a starting point for schools and districts and should be customized to fit </w:t>
      </w:r>
      <w:r w:rsidR="00DA54D1">
        <w:rPr>
          <w:sz w:val="20"/>
          <w:szCs w:val="20"/>
        </w:rPr>
        <w:t>the needs of your unique context.</w:t>
      </w:r>
    </w:p>
    <w:p w14:paraId="17343528" w14:textId="02C9B567" w:rsidR="00035FEB" w:rsidRDefault="00DA54D1" w:rsidP="002115D4">
      <w:pPr>
        <w:pStyle w:val="Heading2"/>
      </w:pPr>
      <w:r>
        <w:t>Online Resources</w:t>
      </w:r>
    </w:p>
    <w:p w14:paraId="48E7F076" w14:textId="2A7CE9A1" w:rsidR="00035FEB" w:rsidRDefault="2FCE95FA" w:rsidP="00035FEB">
      <w:pPr>
        <w:rPr>
          <w:sz w:val="20"/>
          <w:szCs w:val="20"/>
        </w:rPr>
      </w:pPr>
      <w:r w:rsidRPr="4D007418">
        <w:rPr>
          <w:b/>
          <w:sz w:val="20"/>
          <w:szCs w:val="20"/>
        </w:rPr>
        <w:t>Early Postsecondary Opportunities in Tennessee</w:t>
      </w:r>
      <w:r w:rsidR="00DA54D1">
        <w:br/>
      </w:r>
      <w:r w:rsidRPr="4D007418">
        <w:rPr>
          <w:sz w:val="20"/>
          <w:szCs w:val="20"/>
        </w:rPr>
        <w:t xml:space="preserve">Visit the </w:t>
      </w:r>
      <w:hyperlink r:id="rId14" w:history="1">
        <w:r w:rsidRPr="4D007418">
          <w:rPr>
            <w:sz w:val="20"/>
            <w:szCs w:val="20"/>
          </w:rPr>
          <w:t>Early Postsecondary</w:t>
        </w:r>
      </w:hyperlink>
      <w:r w:rsidR="3B125297" w:rsidRPr="4D007418">
        <w:rPr>
          <w:sz w:val="20"/>
          <w:szCs w:val="20"/>
        </w:rPr>
        <w:t xml:space="preserve"> Opportunities</w:t>
      </w:r>
      <w:r w:rsidRPr="4D007418">
        <w:rPr>
          <w:sz w:val="20"/>
          <w:szCs w:val="20"/>
        </w:rPr>
        <w:t xml:space="preserve"> </w:t>
      </w:r>
      <w:hyperlink r:id="rId15" w:history="1">
        <w:r w:rsidRPr="4D007418">
          <w:rPr>
            <w:rStyle w:val="Hyperlink"/>
            <w:sz w:val="20"/>
            <w:szCs w:val="20"/>
          </w:rPr>
          <w:t>webpage</w:t>
        </w:r>
      </w:hyperlink>
      <w:r w:rsidRPr="4D007418">
        <w:rPr>
          <w:sz w:val="20"/>
          <w:szCs w:val="20"/>
        </w:rPr>
        <w:t xml:space="preserve"> to learn about the eight different early postsecondary opportunities promoted and recognized in the state of Tennessee. </w:t>
      </w:r>
      <w:r w:rsidR="1CD7A079" w:rsidRPr="4D007418">
        <w:rPr>
          <w:sz w:val="20"/>
          <w:szCs w:val="20"/>
        </w:rPr>
        <w:t xml:space="preserve"> </w:t>
      </w:r>
    </w:p>
    <w:p w14:paraId="29497FC4" w14:textId="17CD64A8" w:rsidR="002C7CC9" w:rsidRDefault="002C7CC9" w:rsidP="00035FEB">
      <w:pPr>
        <w:rPr>
          <w:sz w:val="20"/>
          <w:szCs w:val="20"/>
        </w:rPr>
      </w:pPr>
      <w:r w:rsidRPr="00E40B34">
        <w:rPr>
          <w:b/>
          <w:bCs w:val="0"/>
          <w:sz w:val="20"/>
          <w:szCs w:val="20"/>
        </w:rPr>
        <w:t>CollegeforTN.org</w:t>
      </w:r>
      <w:r>
        <w:rPr>
          <w:sz w:val="20"/>
          <w:szCs w:val="20"/>
        </w:rPr>
        <w:br/>
      </w:r>
      <w:hyperlink r:id="rId16" w:history="1">
        <w:r w:rsidRPr="00E40B34">
          <w:rPr>
            <w:rStyle w:val="Hyperlink"/>
            <w:sz w:val="20"/>
            <w:szCs w:val="20"/>
          </w:rPr>
          <w:t>CollegeforTN.org</w:t>
        </w:r>
      </w:hyperlink>
      <w:r>
        <w:rPr>
          <w:sz w:val="20"/>
          <w:szCs w:val="20"/>
        </w:rPr>
        <w:t xml:space="preserve"> is a free online web portal that provides Tennessee students and families with resources to research and organize the college and career search process. The portal offers lots of information on college applications.</w:t>
      </w:r>
    </w:p>
    <w:p w14:paraId="3A919CF1" w14:textId="2B9C5494" w:rsidR="002C7CC9" w:rsidRDefault="0041735B" w:rsidP="00035FEB">
      <w:pPr>
        <w:rPr>
          <w:sz w:val="20"/>
          <w:szCs w:val="20"/>
        </w:rPr>
      </w:pPr>
      <w:r w:rsidRPr="0041735B">
        <w:rPr>
          <w:b/>
          <w:bCs w:val="0"/>
          <w:sz w:val="20"/>
          <w:szCs w:val="20"/>
        </w:rPr>
        <w:t>StudentAid.gov</w:t>
      </w:r>
      <w:r w:rsidR="002C7CC9">
        <w:rPr>
          <w:sz w:val="20"/>
          <w:szCs w:val="20"/>
        </w:rPr>
        <w:br/>
      </w:r>
      <w:hyperlink r:id="rId17" w:history="1">
        <w:r w:rsidRPr="0041735B">
          <w:rPr>
            <w:rStyle w:val="Hyperlink"/>
            <w:sz w:val="20"/>
            <w:szCs w:val="20"/>
          </w:rPr>
          <w:t>StudentAid.gov</w:t>
        </w:r>
      </w:hyperlink>
      <w:r w:rsidR="002C7CC9">
        <w:rPr>
          <w:sz w:val="20"/>
          <w:szCs w:val="20"/>
        </w:rPr>
        <w:t xml:space="preserve"> is the official site at which students file the FAFSA. Filing the FAFSA is always free. Any website that asks students to pay to file the FAFSA is no</w:t>
      </w:r>
      <w:r>
        <w:rPr>
          <w:sz w:val="20"/>
          <w:szCs w:val="20"/>
        </w:rPr>
        <w:t>t</w:t>
      </w:r>
      <w:r w:rsidR="002C7CC9">
        <w:rPr>
          <w:sz w:val="20"/>
          <w:szCs w:val="20"/>
        </w:rPr>
        <w:t xml:space="preserve"> the official Federal Student Aid site. Students can file the FAFSA beginning </w:t>
      </w:r>
      <w:r w:rsidR="001219E4">
        <w:rPr>
          <w:sz w:val="20"/>
          <w:szCs w:val="20"/>
        </w:rPr>
        <w:t>October 1, 2022</w:t>
      </w:r>
      <w:r w:rsidR="002C7CC9">
        <w:rPr>
          <w:sz w:val="20"/>
          <w:szCs w:val="20"/>
        </w:rPr>
        <w:t xml:space="preserve">. During EPSO Week, </w:t>
      </w:r>
      <w:r w:rsidR="003627F6">
        <w:rPr>
          <w:sz w:val="20"/>
          <w:szCs w:val="20"/>
        </w:rPr>
        <w:t xml:space="preserve">students can register for a FAFSA ID, which they will need to file the FAFSA at </w:t>
      </w:r>
      <w:hyperlink r:id="rId18" w:history="1">
        <w:r w:rsidR="001219E4" w:rsidRPr="001219E4">
          <w:rPr>
            <w:rStyle w:val="Hyperlink"/>
            <w:sz w:val="20"/>
            <w:szCs w:val="20"/>
          </w:rPr>
          <w:t>studentaid.gov</w:t>
        </w:r>
      </w:hyperlink>
      <w:r w:rsidR="001219E4">
        <w:rPr>
          <w:sz w:val="20"/>
          <w:szCs w:val="20"/>
        </w:rPr>
        <w:t xml:space="preserve">. </w:t>
      </w:r>
    </w:p>
    <w:p w14:paraId="030CAD81" w14:textId="7002A5F0" w:rsidR="007C0FF9" w:rsidRDefault="007C0FF9" w:rsidP="00035FEB">
      <w:pPr>
        <w:rPr>
          <w:sz w:val="20"/>
          <w:szCs w:val="20"/>
        </w:rPr>
      </w:pPr>
      <w:r w:rsidRPr="001219E4">
        <w:rPr>
          <w:b/>
          <w:bCs w:val="0"/>
          <w:sz w:val="20"/>
          <w:szCs w:val="20"/>
        </w:rPr>
        <w:t>ACT.org</w:t>
      </w:r>
      <w:r>
        <w:rPr>
          <w:sz w:val="20"/>
          <w:szCs w:val="20"/>
        </w:rPr>
        <w:br/>
        <w:t xml:space="preserve">Students can register for the ACT on </w:t>
      </w:r>
      <w:hyperlink r:id="rId19" w:history="1">
        <w:r w:rsidRPr="00D257EF">
          <w:rPr>
            <w:rStyle w:val="Hyperlink"/>
            <w:sz w:val="20"/>
            <w:szCs w:val="20"/>
          </w:rPr>
          <w:t>ACT.org</w:t>
        </w:r>
      </w:hyperlink>
      <w:r>
        <w:rPr>
          <w:sz w:val="20"/>
          <w:szCs w:val="20"/>
        </w:rPr>
        <w:t xml:space="preserve"> or they can visit the website to retrieve their scores and have those scores sent to schools.</w:t>
      </w:r>
    </w:p>
    <w:p w14:paraId="340FE8FC" w14:textId="411F6D1C" w:rsidR="007C0FF9" w:rsidRDefault="007C0FF9" w:rsidP="00035FEB">
      <w:pPr>
        <w:rPr>
          <w:sz w:val="20"/>
          <w:szCs w:val="20"/>
        </w:rPr>
      </w:pPr>
      <w:r w:rsidRPr="00D257EF">
        <w:rPr>
          <w:b/>
          <w:bCs w:val="0"/>
          <w:sz w:val="20"/>
          <w:szCs w:val="20"/>
        </w:rPr>
        <w:t>CollegeBoard.org</w:t>
      </w:r>
      <w:r>
        <w:rPr>
          <w:sz w:val="20"/>
          <w:szCs w:val="20"/>
        </w:rPr>
        <w:br/>
        <w:t xml:space="preserve">Students can register for the SAT on </w:t>
      </w:r>
      <w:hyperlink r:id="rId20" w:history="1">
        <w:r w:rsidRPr="00D257EF">
          <w:rPr>
            <w:rStyle w:val="Hyperlink"/>
            <w:sz w:val="20"/>
            <w:szCs w:val="20"/>
          </w:rPr>
          <w:t>collegeboard.org</w:t>
        </w:r>
      </w:hyperlink>
      <w:r>
        <w:rPr>
          <w:sz w:val="20"/>
          <w:szCs w:val="20"/>
        </w:rPr>
        <w:t xml:space="preserve"> or they can visit the website to retrieve their scores and have those scores sent to schools. </w:t>
      </w:r>
    </w:p>
    <w:p w14:paraId="6DA99B7E" w14:textId="421F640F" w:rsidR="00164E9A" w:rsidRDefault="303D5EA4" w:rsidP="00035FEB">
      <w:pPr>
        <w:rPr>
          <w:sz w:val="20"/>
          <w:szCs w:val="20"/>
        </w:rPr>
      </w:pPr>
      <w:r w:rsidRPr="4D007418">
        <w:rPr>
          <w:b/>
          <w:sz w:val="20"/>
          <w:szCs w:val="20"/>
        </w:rPr>
        <w:t>Student Milestones for College and Career Readiness</w:t>
      </w:r>
      <w:r w:rsidR="00164E9A">
        <w:br/>
      </w:r>
      <w:r w:rsidRPr="4D007418">
        <w:rPr>
          <w:sz w:val="20"/>
          <w:szCs w:val="20"/>
        </w:rPr>
        <w:t xml:space="preserve">Visit the </w:t>
      </w:r>
      <w:r w:rsidR="079D3A13" w:rsidRPr="4D007418">
        <w:rPr>
          <w:sz w:val="20"/>
          <w:szCs w:val="20"/>
        </w:rPr>
        <w:t>d</w:t>
      </w:r>
      <w:r w:rsidRPr="4D007418">
        <w:rPr>
          <w:sz w:val="20"/>
          <w:szCs w:val="20"/>
        </w:rPr>
        <w:t xml:space="preserve">epartment’s </w:t>
      </w:r>
      <w:hyperlink r:id="rId21">
        <w:r w:rsidRPr="4D007418">
          <w:rPr>
            <w:rStyle w:val="Hyperlink"/>
            <w:sz w:val="20"/>
            <w:szCs w:val="20"/>
          </w:rPr>
          <w:t>school counseling resource page</w:t>
        </w:r>
      </w:hyperlink>
      <w:r w:rsidRPr="4D007418">
        <w:rPr>
          <w:sz w:val="20"/>
          <w:szCs w:val="20"/>
        </w:rPr>
        <w:t xml:space="preserve"> to download the </w:t>
      </w:r>
      <w:r w:rsidR="17E5B4E6" w:rsidRPr="4D007418">
        <w:rPr>
          <w:sz w:val="20"/>
          <w:szCs w:val="20"/>
        </w:rPr>
        <w:t xml:space="preserve">elementary, middle, and high school milestones for college and career readiness. </w:t>
      </w:r>
      <w:r w:rsidR="0DDDF69F" w:rsidRPr="4D007418">
        <w:rPr>
          <w:sz w:val="20"/>
          <w:szCs w:val="20"/>
        </w:rPr>
        <w:t>Use the teacher or counselor actions to promote a culture of college awareness during EPSO Week.</w:t>
      </w:r>
      <w:r w:rsidR="00164E9A">
        <w:br/>
      </w:r>
      <w:r w:rsidR="00164E9A">
        <w:br/>
      </w:r>
    </w:p>
    <w:p w14:paraId="563290C5" w14:textId="3D8B1F42" w:rsidR="00CD5F10" w:rsidRDefault="00CD5F10" w:rsidP="00CD5F10">
      <w:pPr>
        <w:pStyle w:val="Heading2"/>
      </w:pPr>
      <w:r>
        <w:lastRenderedPageBreak/>
        <w:t>Social Media Resources</w:t>
      </w:r>
    </w:p>
    <w:p w14:paraId="33E65A54" w14:textId="6EEA9406" w:rsidR="00043E64" w:rsidRDefault="00967ABD" w:rsidP="00CD5F10">
      <w:pPr>
        <w:rPr>
          <w:sz w:val="20"/>
          <w:szCs w:val="20"/>
        </w:rPr>
      </w:pPr>
      <w:r w:rsidRPr="00967ABD">
        <w:rPr>
          <w:sz w:val="20"/>
          <w:szCs w:val="20"/>
        </w:rPr>
        <w:t xml:space="preserve">Follow the Tennessee Department of Education </w:t>
      </w:r>
      <w:r w:rsidR="00E43610">
        <w:rPr>
          <w:sz w:val="20"/>
          <w:szCs w:val="20"/>
        </w:rPr>
        <w:t xml:space="preserve">(@TNedu) </w:t>
      </w:r>
      <w:r w:rsidR="00043E64">
        <w:rPr>
          <w:sz w:val="20"/>
          <w:szCs w:val="20"/>
        </w:rPr>
        <w:t>to join the EPSO Week conversation. Use the following for sample tweets for districts</w:t>
      </w:r>
      <w:r w:rsidR="006714ED">
        <w:rPr>
          <w:sz w:val="20"/>
          <w:szCs w:val="20"/>
        </w:rPr>
        <w:t xml:space="preserve"> and schools</w:t>
      </w:r>
      <w:r w:rsidR="00043E64">
        <w:rPr>
          <w:sz w:val="20"/>
          <w:szCs w:val="20"/>
        </w:rPr>
        <w:t>:</w:t>
      </w:r>
    </w:p>
    <w:p w14:paraId="5D0FA709" w14:textId="77777777" w:rsidR="00043E64" w:rsidRDefault="00043E64" w:rsidP="00043E64">
      <w:pPr>
        <w:pStyle w:val="ListParagraph"/>
        <w:numPr>
          <w:ilvl w:val="0"/>
          <w:numId w:val="3"/>
        </w:numPr>
        <w:rPr>
          <w:sz w:val="20"/>
          <w:szCs w:val="20"/>
        </w:rPr>
      </w:pPr>
      <w:r>
        <w:rPr>
          <w:sz w:val="20"/>
          <w:szCs w:val="20"/>
        </w:rPr>
        <w:t>EPSO Week begins November 14! Is your school celebrating? Tell us how! #EPSOWeek2022</w:t>
      </w:r>
    </w:p>
    <w:p w14:paraId="71C15873" w14:textId="77777777" w:rsidR="00DC2C6D" w:rsidRDefault="00DC2C6D" w:rsidP="00043E64">
      <w:pPr>
        <w:pStyle w:val="ListParagraph"/>
        <w:numPr>
          <w:ilvl w:val="0"/>
          <w:numId w:val="3"/>
        </w:numPr>
        <w:rPr>
          <w:sz w:val="20"/>
          <w:szCs w:val="20"/>
        </w:rPr>
      </w:pPr>
      <w:r>
        <w:rPr>
          <w:sz w:val="20"/>
          <w:szCs w:val="20"/>
        </w:rPr>
        <w:t>Early postsecondary opportunities are for all students. Ask your counselor or teachers what opportunities might fit within your coursework. #EPSOWeek2022</w:t>
      </w:r>
    </w:p>
    <w:p w14:paraId="6FB52A44" w14:textId="77777777" w:rsidR="00DC2C6D" w:rsidRDefault="00DC2C6D" w:rsidP="00043E64">
      <w:pPr>
        <w:pStyle w:val="ListParagraph"/>
        <w:numPr>
          <w:ilvl w:val="0"/>
          <w:numId w:val="3"/>
        </w:numPr>
        <w:rPr>
          <w:sz w:val="20"/>
          <w:szCs w:val="20"/>
        </w:rPr>
      </w:pPr>
      <w:r>
        <w:rPr>
          <w:sz w:val="20"/>
          <w:szCs w:val="20"/>
        </w:rPr>
        <w:t xml:space="preserve">Elementary and middle school teachers: use EPSO Week </w:t>
      </w:r>
      <w:proofErr w:type="gramStart"/>
      <w:r>
        <w:rPr>
          <w:sz w:val="20"/>
          <w:szCs w:val="20"/>
        </w:rPr>
        <w:t>as a way to</w:t>
      </w:r>
      <w:proofErr w:type="gramEnd"/>
      <w:r>
        <w:rPr>
          <w:sz w:val="20"/>
          <w:szCs w:val="20"/>
        </w:rPr>
        <w:t xml:space="preserve"> engage students in conversations about postsecondary and career! #EPSOWeek2022</w:t>
      </w:r>
    </w:p>
    <w:p w14:paraId="2F2055F9" w14:textId="4222114B" w:rsidR="006714ED" w:rsidRDefault="5689D84C" w:rsidP="00043E64">
      <w:pPr>
        <w:pStyle w:val="ListParagraph"/>
        <w:numPr>
          <w:ilvl w:val="0"/>
          <w:numId w:val="3"/>
        </w:numPr>
        <w:rPr>
          <w:sz w:val="20"/>
          <w:szCs w:val="20"/>
        </w:rPr>
      </w:pPr>
      <w:r w:rsidRPr="4D007418">
        <w:rPr>
          <w:sz w:val="20"/>
          <w:szCs w:val="20"/>
        </w:rPr>
        <w:t xml:space="preserve">Did you know EPSOs also fit into CTE programs of study? All students </w:t>
      </w:r>
      <w:r w:rsidR="5F46CB38" w:rsidRPr="4D007418">
        <w:rPr>
          <w:sz w:val="20"/>
          <w:szCs w:val="20"/>
        </w:rPr>
        <w:t>should</w:t>
      </w:r>
      <w:r w:rsidRPr="4D007418">
        <w:rPr>
          <w:sz w:val="20"/>
          <w:szCs w:val="20"/>
        </w:rPr>
        <w:t xml:space="preserve"> take advantage </w:t>
      </w:r>
      <w:r w:rsidR="5F46CB38" w:rsidRPr="4D007418">
        <w:rPr>
          <w:sz w:val="20"/>
          <w:szCs w:val="20"/>
        </w:rPr>
        <w:t>of an EPSO</w:t>
      </w:r>
      <w:r w:rsidR="283BF5CD" w:rsidRPr="4D007418">
        <w:rPr>
          <w:sz w:val="20"/>
          <w:szCs w:val="20"/>
        </w:rPr>
        <w:t>. #EPSOWeek2022</w:t>
      </w:r>
    </w:p>
    <w:p w14:paraId="51027AC1" w14:textId="366B958E" w:rsidR="006714ED" w:rsidRDefault="5F46CB38" w:rsidP="00043E64">
      <w:pPr>
        <w:pStyle w:val="ListParagraph"/>
        <w:numPr>
          <w:ilvl w:val="0"/>
          <w:numId w:val="3"/>
        </w:numPr>
        <w:rPr>
          <w:sz w:val="20"/>
          <w:szCs w:val="20"/>
        </w:rPr>
      </w:pPr>
      <w:r w:rsidRPr="4D007418">
        <w:rPr>
          <w:sz w:val="20"/>
          <w:szCs w:val="20"/>
        </w:rPr>
        <w:t xml:space="preserve">What EPSOs are you taking? Tell us what you have learned </w:t>
      </w:r>
      <w:r w:rsidR="35425934" w:rsidRPr="4D007418">
        <w:rPr>
          <w:sz w:val="20"/>
          <w:szCs w:val="20"/>
        </w:rPr>
        <w:t xml:space="preserve">from those EPSOs </w:t>
      </w:r>
      <w:r w:rsidRPr="4D007418">
        <w:rPr>
          <w:sz w:val="20"/>
          <w:szCs w:val="20"/>
        </w:rPr>
        <w:t>using #EPSOWeek2022</w:t>
      </w:r>
    </w:p>
    <w:p w14:paraId="7D811701" w14:textId="77777777" w:rsidR="00DA25A8" w:rsidRDefault="006714ED" w:rsidP="00043E64">
      <w:pPr>
        <w:pStyle w:val="ListParagraph"/>
        <w:numPr>
          <w:ilvl w:val="0"/>
          <w:numId w:val="3"/>
        </w:numPr>
        <w:rPr>
          <w:sz w:val="20"/>
          <w:szCs w:val="20"/>
        </w:rPr>
      </w:pPr>
      <w:r>
        <w:rPr>
          <w:sz w:val="20"/>
          <w:szCs w:val="20"/>
        </w:rPr>
        <w:t>Our s</w:t>
      </w:r>
      <w:r w:rsidR="00DA25A8">
        <w:rPr>
          <w:sz w:val="20"/>
          <w:szCs w:val="20"/>
        </w:rPr>
        <w:t>tudents may be in elementary school, but we know preparation for postsecondary can start now. Happy EPSO Week! #EPSOWeek2022</w:t>
      </w:r>
    </w:p>
    <w:p w14:paraId="3208BB6B" w14:textId="77777777" w:rsidR="00DA25A8" w:rsidRDefault="00DA25A8" w:rsidP="00043E64">
      <w:pPr>
        <w:pStyle w:val="ListParagraph"/>
        <w:numPr>
          <w:ilvl w:val="0"/>
          <w:numId w:val="3"/>
        </w:numPr>
        <w:rPr>
          <w:sz w:val="20"/>
          <w:szCs w:val="20"/>
        </w:rPr>
      </w:pPr>
      <w:r>
        <w:rPr>
          <w:sz w:val="20"/>
          <w:szCs w:val="20"/>
        </w:rPr>
        <w:t>We believe ALL students should take advantage of an EPSO. Talk to a counselor or teacher to see what we offer! #EPSOWeek2022</w:t>
      </w:r>
    </w:p>
    <w:p w14:paraId="4ACD0453" w14:textId="5EAE69A2" w:rsidR="00CD5F10" w:rsidRPr="00060BAC" w:rsidRDefault="00DA25A8" w:rsidP="00043E64">
      <w:pPr>
        <w:pStyle w:val="ListParagraph"/>
        <w:numPr>
          <w:ilvl w:val="0"/>
          <w:numId w:val="3"/>
        </w:numPr>
        <w:rPr>
          <w:sz w:val="20"/>
          <w:szCs w:val="20"/>
        </w:rPr>
      </w:pPr>
      <w:r>
        <w:rPr>
          <w:sz w:val="20"/>
          <w:szCs w:val="20"/>
        </w:rPr>
        <w:t>From AP to Dual Enrollment to Statewide Dual Credit, just taking one EPSO makes you more prepared for postsecondary</w:t>
      </w:r>
    </w:p>
    <w:p w14:paraId="31B8545B" w14:textId="77777777" w:rsidR="003E64C3" w:rsidRDefault="003E64C3">
      <w:pPr>
        <w:spacing w:after="200" w:line="276" w:lineRule="auto"/>
        <w:rPr>
          <w:rFonts w:ascii="PermianSlabSerifTypeface" w:hAnsi="PermianSlabSerifTypeface"/>
          <w:b/>
          <w:color w:val="6E7073" w:themeColor="text2"/>
          <w:spacing w:val="-20"/>
          <w:sz w:val="44"/>
          <w:szCs w:val="26"/>
        </w:rPr>
      </w:pPr>
      <w:r>
        <w:br w:type="page"/>
      </w:r>
    </w:p>
    <w:p w14:paraId="5627CDA7" w14:textId="7B66CC4B" w:rsidR="0036523E" w:rsidRPr="00035FEB" w:rsidRDefault="0036523E" w:rsidP="0036523E">
      <w:pPr>
        <w:pStyle w:val="Heading1"/>
      </w:pPr>
      <w:r>
        <w:lastRenderedPageBreak/>
        <w:t>In-School Promotion Ideas</w:t>
      </w:r>
    </w:p>
    <w:p w14:paraId="50096BF0" w14:textId="5CD20591" w:rsidR="0036523E" w:rsidRPr="00DA54D1" w:rsidRDefault="672F7B15" w:rsidP="0036523E">
      <w:pPr>
        <w:rPr>
          <w:sz w:val="20"/>
          <w:szCs w:val="20"/>
        </w:rPr>
      </w:pPr>
      <w:r w:rsidRPr="4D007418">
        <w:rPr>
          <w:sz w:val="20"/>
          <w:szCs w:val="20"/>
        </w:rPr>
        <w:t xml:space="preserve">Promoting your school’s EPSO Week is crucial – a successful event has the entire school community actively engaged to celebrate all the </w:t>
      </w:r>
      <w:r w:rsidR="1EA0BEDB" w:rsidRPr="4D007418">
        <w:rPr>
          <w:sz w:val="20"/>
          <w:szCs w:val="20"/>
        </w:rPr>
        <w:t>positive contributions EPSO</w:t>
      </w:r>
      <w:r w:rsidR="175BA7BC" w:rsidRPr="4D007418">
        <w:rPr>
          <w:sz w:val="20"/>
          <w:szCs w:val="20"/>
        </w:rPr>
        <w:t>s</w:t>
      </w:r>
      <w:r w:rsidR="1EA0BEDB" w:rsidRPr="4D007418">
        <w:rPr>
          <w:sz w:val="20"/>
          <w:szCs w:val="20"/>
        </w:rPr>
        <w:t xml:space="preserve"> make to your students. </w:t>
      </w:r>
    </w:p>
    <w:p w14:paraId="6CE0CF18" w14:textId="0EC5E1E8" w:rsidR="00547DF5" w:rsidRDefault="00BF4777" w:rsidP="00547DF5">
      <w:pPr>
        <w:pStyle w:val="Heading2"/>
      </w:pPr>
      <w:r>
        <w:t>Morning Announcement Script</w:t>
      </w:r>
    </w:p>
    <w:p w14:paraId="0775B6DF" w14:textId="5DDE00F1" w:rsidR="00547DF5" w:rsidRDefault="4047369E" w:rsidP="00547DF5">
      <w:pPr>
        <w:rPr>
          <w:sz w:val="20"/>
          <w:szCs w:val="20"/>
        </w:rPr>
      </w:pPr>
      <w:r w:rsidRPr="4D007418">
        <w:rPr>
          <w:sz w:val="20"/>
          <w:szCs w:val="20"/>
        </w:rPr>
        <w:t xml:space="preserve">Use daily public </w:t>
      </w:r>
      <w:r w:rsidR="7197E766" w:rsidRPr="4D007418">
        <w:rPr>
          <w:sz w:val="20"/>
          <w:szCs w:val="20"/>
        </w:rPr>
        <w:t xml:space="preserve">announcements to generate awareness of EPSO week. Try this sample message: </w:t>
      </w:r>
      <w:r w:rsidR="7197E766" w:rsidRPr="4D007418">
        <w:rPr>
          <w:i/>
          <w:iCs/>
          <w:sz w:val="20"/>
          <w:szCs w:val="20"/>
        </w:rPr>
        <w:t>“This is Early Postsecondary Opportunit</w:t>
      </w:r>
      <w:r w:rsidR="3E92206B" w:rsidRPr="4D007418">
        <w:rPr>
          <w:i/>
          <w:iCs/>
          <w:sz w:val="20"/>
          <w:szCs w:val="20"/>
        </w:rPr>
        <w:t>ies</w:t>
      </w:r>
      <w:r w:rsidR="7197E766" w:rsidRPr="4D007418">
        <w:rPr>
          <w:i/>
          <w:iCs/>
          <w:sz w:val="20"/>
          <w:szCs w:val="20"/>
        </w:rPr>
        <w:t xml:space="preserve"> Week! If you haven’t heard about </w:t>
      </w:r>
      <w:r w:rsidR="12C4945B" w:rsidRPr="4D007418">
        <w:rPr>
          <w:i/>
          <w:iCs/>
          <w:sz w:val="20"/>
          <w:szCs w:val="20"/>
        </w:rPr>
        <w:t>EPSOs, this is the week to learn more. Visit your school counselor to learn more about early postsecondary opportunities or ask a teacher</w:t>
      </w:r>
      <w:r w:rsidR="37E61728" w:rsidRPr="4D007418">
        <w:rPr>
          <w:i/>
          <w:iCs/>
          <w:sz w:val="20"/>
          <w:szCs w:val="20"/>
        </w:rPr>
        <w:t xml:space="preserve"> about the benefits of taking a college-level course while in high school.”</w:t>
      </w:r>
    </w:p>
    <w:p w14:paraId="4C946A4B" w14:textId="3AC746EF" w:rsidR="00C146C1" w:rsidRDefault="00CD2A4D" w:rsidP="00C146C1">
      <w:pPr>
        <w:pStyle w:val="Heading2"/>
      </w:pPr>
      <w:r>
        <w:t>Friendly Competition</w:t>
      </w:r>
    </w:p>
    <w:p w14:paraId="057EC32A" w14:textId="1D42A8EF" w:rsidR="00035FEB" w:rsidRDefault="00CD2A4D" w:rsidP="00C146C1">
      <w:pPr>
        <w:rPr>
          <w:sz w:val="20"/>
          <w:szCs w:val="20"/>
        </w:rPr>
      </w:pPr>
      <w:r>
        <w:rPr>
          <w:sz w:val="20"/>
          <w:szCs w:val="20"/>
        </w:rPr>
        <w:t>Sponsor a class contest between the different grades to inspire all students to start thinking about taking rigorous college-level courses while in high school. Classes compete against each other to have the most stude</w:t>
      </w:r>
      <w:r w:rsidR="009C0E66">
        <w:rPr>
          <w:sz w:val="20"/>
          <w:szCs w:val="20"/>
        </w:rPr>
        <w:t>n</w:t>
      </w:r>
      <w:r>
        <w:rPr>
          <w:sz w:val="20"/>
          <w:szCs w:val="20"/>
        </w:rPr>
        <w:t xml:space="preserve">ts </w:t>
      </w:r>
      <w:proofErr w:type="gramStart"/>
      <w:r>
        <w:rPr>
          <w:sz w:val="20"/>
          <w:szCs w:val="20"/>
        </w:rPr>
        <w:t>taking action</w:t>
      </w:r>
      <w:proofErr w:type="gramEnd"/>
      <w:r>
        <w:rPr>
          <w:sz w:val="20"/>
          <w:szCs w:val="20"/>
        </w:rPr>
        <w:t xml:space="preserve">. </w:t>
      </w:r>
      <w:proofErr w:type="gramStart"/>
      <w:r>
        <w:rPr>
          <w:sz w:val="20"/>
          <w:szCs w:val="20"/>
        </w:rPr>
        <w:t>Taking action</w:t>
      </w:r>
      <w:proofErr w:type="gramEnd"/>
      <w:r>
        <w:rPr>
          <w:sz w:val="20"/>
          <w:szCs w:val="20"/>
        </w:rPr>
        <w:t xml:space="preserve"> coul</w:t>
      </w:r>
      <w:r w:rsidR="009C0E66">
        <w:rPr>
          <w:sz w:val="20"/>
          <w:szCs w:val="20"/>
        </w:rPr>
        <w:t>d</w:t>
      </w:r>
      <w:r>
        <w:rPr>
          <w:sz w:val="20"/>
          <w:szCs w:val="20"/>
        </w:rPr>
        <w:t xml:space="preserve"> include scheduling an appointment to speak with their counselor, asking their teachers questions about EPSOs, signing up to take a rigorous college-course, inviting their parents and/or guardian to an EPSO Week </w:t>
      </w:r>
      <w:r w:rsidR="009C0E66">
        <w:rPr>
          <w:sz w:val="20"/>
          <w:szCs w:val="20"/>
        </w:rPr>
        <w:t xml:space="preserve">parent night. </w:t>
      </w:r>
    </w:p>
    <w:p w14:paraId="3601BF68" w14:textId="2A7A2261" w:rsidR="009C0E66" w:rsidRDefault="009C0E66" w:rsidP="009C0E66">
      <w:pPr>
        <w:pStyle w:val="Heading2"/>
      </w:pPr>
      <w:r>
        <w:t>Host a Pep Rally</w:t>
      </w:r>
    </w:p>
    <w:p w14:paraId="215787CE" w14:textId="33D72F3F" w:rsidR="009C0E66" w:rsidRDefault="009C0E66" w:rsidP="009C0E66">
      <w:pPr>
        <w:rPr>
          <w:sz w:val="20"/>
          <w:szCs w:val="20"/>
        </w:rPr>
      </w:pPr>
      <w:r>
        <w:rPr>
          <w:sz w:val="20"/>
          <w:szCs w:val="20"/>
        </w:rPr>
        <w:t>Talk with your school administrators about holding a kick-off pep rally to get everyone in the EPSO frame of mind. Introduce students already taking advantage of EPSO in your school or invite an alumnus back to talk about how taking EPSOs better prepared them for postsecondary. Ask students to wear college gear from their favorite schools.</w:t>
      </w:r>
    </w:p>
    <w:p w14:paraId="6035A4A9" w14:textId="691E2A0D" w:rsidR="009C0E66" w:rsidRDefault="009C0E66" w:rsidP="009C0E66">
      <w:pPr>
        <w:pStyle w:val="Heading2"/>
      </w:pPr>
      <w:r>
        <w:t>Daily EPSO Trivia Announcements</w:t>
      </w:r>
    </w:p>
    <w:p w14:paraId="613C4526" w14:textId="721AD6BA" w:rsidR="009C0E66" w:rsidRDefault="55041C2D" w:rsidP="009C0E66">
      <w:pPr>
        <w:rPr>
          <w:sz w:val="20"/>
          <w:szCs w:val="20"/>
        </w:rPr>
      </w:pPr>
      <w:r w:rsidRPr="4D007418">
        <w:rPr>
          <w:sz w:val="20"/>
          <w:szCs w:val="20"/>
        </w:rPr>
        <w:t xml:space="preserve">During EPSO Week, make daily announcements with EPSO trivia or facts. If you </w:t>
      </w:r>
      <w:bookmarkStart w:id="0" w:name="_Int_h7TIhhHR"/>
      <w:r w:rsidR="1E716C64" w:rsidRPr="4D007418">
        <w:rPr>
          <w:sz w:val="20"/>
          <w:szCs w:val="20"/>
        </w:rPr>
        <w:t>ask</w:t>
      </w:r>
      <w:bookmarkEnd w:id="0"/>
      <w:r w:rsidRPr="4D007418">
        <w:rPr>
          <w:sz w:val="20"/>
          <w:szCs w:val="20"/>
        </w:rPr>
        <w:t xml:space="preserve"> a trivia question, offer a small prize for the first student to turn in the correct answer.</w:t>
      </w:r>
    </w:p>
    <w:p w14:paraId="3830EF47" w14:textId="1A3D553E" w:rsidR="00057725" w:rsidRDefault="00057725" w:rsidP="00057725">
      <w:pPr>
        <w:pStyle w:val="Heading2"/>
      </w:pPr>
      <w:r>
        <w:t>College Tour</w:t>
      </w:r>
    </w:p>
    <w:p w14:paraId="09E1D83A" w14:textId="10202635" w:rsidR="00057725" w:rsidRDefault="00057725" w:rsidP="00057725">
      <w:pPr>
        <w:rPr>
          <w:sz w:val="20"/>
          <w:szCs w:val="20"/>
        </w:rPr>
      </w:pPr>
      <w:r>
        <w:rPr>
          <w:sz w:val="20"/>
          <w:szCs w:val="20"/>
        </w:rPr>
        <w:t>Reach out to your local Tennessee College of Applied Technology, Community College, or 4-year postsecondary institution in your area to request a tour of the campus for your students. Please have the assigned tour guide talk about general information related to their campus including the majors offered, admission requirements, application process, and cost.</w:t>
      </w:r>
      <w:r w:rsidR="002F497F">
        <w:rPr>
          <w:sz w:val="20"/>
          <w:szCs w:val="20"/>
        </w:rPr>
        <w:br/>
      </w:r>
      <w:r w:rsidR="002F497F">
        <w:rPr>
          <w:sz w:val="20"/>
          <w:szCs w:val="20"/>
        </w:rPr>
        <w:br/>
      </w:r>
    </w:p>
    <w:p w14:paraId="19FAB039" w14:textId="6F56FE1A" w:rsidR="00057725" w:rsidRDefault="00057725" w:rsidP="00057725">
      <w:pPr>
        <w:pStyle w:val="Heading2"/>
      </w:pPr>
      <w:r>
        <w:lastRenderedPageBreak/>
        <w:t>Invite Guest Speakers</w:t>
      </w:r>
    </w:p>
    <w:p w14:paraId="29937BA2" w14:textId="1FA598D9" w:rsidR="00057725" w:rsidRDefault="00057725" w:rsidP="00057725">
      <w:pPr>
        <w:rPr>
          <w:sz w:val="20"/>
          <w:szCs w:val="20"/>
        </w:rPr>
      </w:pPr>
      <w:r>
        <w:rPr>
          <w:sz w:val="20"/>
          <w:szCs w:val="20"/>
        </w:rPr>
        <w:t xml:space="preserve">Invite admissions staff from local colleges and universities to provide general information related to their campus, including the majors offered, admission requirements, application process, and cost of attendance. Have them talk about the benefits of taking EPSOs while in high school and how EPSOs transfer over to their postsecondary institution. </w:t>
      </w:r>
    </w:p>
    <w:p w14:paraId="35DB384D" w14:textId="25C827E3" w:rsidR="00057725" w:rsidRDefault="00057725" w:rsidP="00057725">
      <w:pPr>
        <w:pStyle w:val="Heading2"/>
      </w:pPr>
      <w:r>
        <w:t>Student and Alumni Presentations</w:t>
      </w:r>
    </w:p>
    <w:p w14:paraId="2EE582E4" w14:textId="28EB7C16" w:rsidR="00057725" w:rsidRDefault="00057725" w:rsidP="00057725">
      <w:pPr>
        <w:rPr>
          <w:sz w:val="20"/>
          <w:szCs w:val="20"/>
        </w:rPr>
      </w:pPr>
      <w:r>
        <w:rPr>
          <w:sz w:val="20"/>
          <w:szCs w:val="20"/>
        </w:rPr>
        <w:t>Allow students currently enrolled in EPSOs to speak to other classes of students about their experiences. This can take the form of class visits, an alumni night, or visiting feeder schools to encourage middle school students to start thinking about postsecondary education.</w:t>
      </w:r>
    </w:p>
    <w:p w14:paraId="512A15E4" w14:textId="1B60CD16" w:rsidR="00057725" w:rsidRDefault="00057725" w:rsidP="00057725">
      <w:pPr>
        <w:pStyle w:val="Heading2"/>
      </w:pPr>
      <w:r>
        <w:t>Give Away College Swag</w:t>
      </w:r>
    </w:p>
    <w:p w14:paraId="6D04186E" w14:textId="19D01680" w:rsidR="00057725" w:rsidRDefault="00057725" w:rsidP="00057725">
      <w:pPr>
        <w:rPr>
          <w:sz w:val="20"/>
          <w:szCs w:val="20"/>
        </w:rPr>
      </w:pPr>
      <w:r>
        <w:rPr>
          <w:sz w:val="20"/>
          <w:szCs w:val="20"/>
        </w:rPr>
        <w:t xml:space="preserve">Hold drawings during EPSO Week. Ask colleges and </w:t>
      </w:r>
      <w:r w:rsidR="009A60D1">
        <w:rPr>
          <w:sz w:val="20"/>
          <w:szCs w:val="20"/>
        </w:rPr>
        <w:t>universities</w:t>
      </w:r>
      <w:r>
        <w:rPr>
          <w:sz w:val="20"/>
          <w:szCs w:val="20"/>
        </w:rPr>
        <w:t xml:space="preserve"> to donate promotional items (banners, hats, t-shirts, </w:t>
      </w:r>
      <w:r w:rsidR="009A60D1">
        <w:rPr>
          <w:sz w:val="20"/>
          <w:szCs w:val="20"/>
        </w:rPr>
        <w:t>sweatshirts</w:t>
      </w:r>
      <w:r>
        <w:rPr>
          <w:sz w:val="20"/>
          <w:szCs w:val="20"/>
        </w:rPr>
        <w:t>, etc.) to use as giveaways. A</w:t>
      </w:r>
      <w:r w:rsidR="009A60D1">
        <w:rPr>
          <w:sz w:val="20"/>
          <w:szCs w:val="20"/>
        </w:rPr>
        <w:t>sk</w:t>
      </w:r>
      <w:r>
        <w:rPr>
          <w:sz w:val="20"/>
          <w:szCs w:val="20"/>
        </w:rPr>
        <w:t xml:space="preserve"> local businesses for items for your drawing. </w:t>
      </w:r>
    </w:p>
    <w:p w14:paraId="6A35C30A" w14:textId="2B03D294" w:rsidR="00057725" w:rsidRDefault="00057725" w:rsidP="00057725">
      <w:pPr>
        <w:pStyle w:val="Heading2"/>
      </w:pPr>
      <w:r>
        <w:t>Dress the School</w:t>
      </w:r>
    </w:p>
    <w:p w14:paraId="25A29B8A" w14:textId="31F0BB5C" w:rsidR="00057725" w:rsidRDefault="7F7FEC70" w:rsidP="00057725">
      <w:pPr>
        <w:rPr>
          <w:sz w:val="20"/>
          <w:szCs w:val="20"/>
        </w:rPr>
      </w:pPr>
      <w:r w:rsidRPr="4D007418">
        <w:rPr>
          <w:sz w:val="20"/>
          <w:szCs w:val="20"/>
        </w:rPr>
        <w:t xml:space="preserve">Create an “EPSO wall.” Use the EPSO Week theme as the title of your </w:t>
      </w:r>
      <w:r w:rsidR="5A7D9190" w:rsidRPr="4D007418">
        <w:rPr>
          <w:sz w:val="20"/>
          <w:szCs w:val="20"/>
        </w:rPr>
        <w:t>wall and</w:t>
      </w:r>
      <w:r w:rsidRPr="4D007418">
        <w:rPr>
          <w:sz w:val="20"/>
          <w:szCs w:val="20"/>
        </w:rPr>
        <w:t xml:space="preserve"> enlist the help of your students to create a wall that list</w:t>
      </w:r>
      <w:r w:rsidR="7264175B" w:rsidRPr="4D007418">
        <w:rPr>
          <w:sz w:val="20"/>
          <w:szCs w:val="20"/>
        </w:rPr>
        <w:t>s</w:t>
      </w:r>
      <w:r w:rsidRPr="4D007418">
        <w:rPr>
          <w:sz w:val="20"/>
          <w:szCs w:val="20"/>
        </w:rPr>
        <w:t xml:space="preserve"> the names and definitions of each EPSO. </w:t>
      </w:r>
    </w:p>
    <w:p w14:paraId="16B07708" w14:textId="250E03B0" w:rsidR="008260A7" w:rsidRDefault="008260A7" w:rsidP="008260A7">
      <w:pPr>
        <w:pStyle w:val="Heading2"/>
      </w:pPr>
      <w:r>
        <w:t>Family Nigh</w:t>
      </w:r>
      <w:r w:rsidR="009A60D1">
        <w:t>t</w:t>
      </w:r>
    </w:p>
    <w:p w14:paraId="6B11E3BE" w14:textId="323C8FEC" w:rsidR="003E64C3" w:rsidRDefault="00302EFF" w:rsidP="00035FEB">
      <w:pPr>
        <w:rPr>
          <w:sz w:val="20"/>
          <w:szCs w:val="20"/>
        </w:rPr>
      </w:pPr>
      <w:r w:rsidRPr="00302EFF">
        <w:rPr>
          <w:sz w:val="20"/>
          <w:szCs w:val="20"/>
        </w:rPr>
        <w:t>Host an EPSO Family Night at your school. Invite admission staff from local colleges and universities to provide general information related to their campus. Have them talk to students and families about the benefits of taking EPSOs while in high school and how EPSOs transfer over to their postsecondary institution. Ask your school counselors and volunteers to be on hand to talk to families/students individually about each opportunity to find out which offering is right for them</w:t>
      </w:r>
      <w:r w:rsidR="009A60D1">
        <w:rPr>
          <w:sz w:val="20"/>
          <w:szCs w:val="20"/>
        </w:rPr>
        <w:t>.</w:t>
      </w:r>
    </w:p>
    <w:p w14:paraId="3F44173F" w14:textId="05F0A140" w:rsidR="00035FEB" w:rsidRPr="003E64C3" w:rsidRDefault="003E64C3" w:rsidP="003E64C3">
      <w:pPr>
        <w:spacing w:after="200" w:line="276" w:lineRule="auto"/>
        <w:rPr>
          <w:sz w:val="20"/>
          <w:szCs w:val="20"/>
        </w:rPr>
      </w:pPr>
      <w:r>
        <w:rPr>
          <w:sz w:val="20"/>
          <w:szCs w:val="20"/>
        </w:rPr>
        <w:br w:type="page"/>
      </w:r>
    </w:p>
    <w:p w14:paraId="164C6BE3" w14:textId="0504FE84" w:rsidR="00B803BE" w:rsidRPr="00035FEB" w:rsidRDefault="00B803BE" w:rsidP="00B803BE">
      <w:pPr>
        <w:pStyle w:val="Heading1"/>
      </w:pPr>
      <w:r>
        <w:lastRenderedPageBreak/>
        <w:t>EPSO Week in Elementary and Middle Schools</w:t>
      </w:r>
    </w:p>
    <w:p w14:paraId="0CD3ABED" w14:textId="79FEC43E" w:rsidR="00B803BE" w:rsidRPr="00DA54D1" w:rsidRDefault="00B803BE" w:rsidP="00B803BE">
      <w:pPr>
        <w:rPr>
          <w:sz w:val="20"/>
          <w:szCs w:val="20"/>
        </w:rPr>
      </w:pPr>
      <w:r>
        <w:rPr>
          <w:sz w:val="20"/>
          <w:szCs w:val="20"/>
        </w:rPr>
        <w:t xml:space="preserve">It is never too early to promote early postsecondary opportunities in your schools! Elementary school students will love the chance to learn about EPSOs and potentially interact with students and the middle or high school. </w:t>
      </w:r>
      <w:r w:rsidR="00295550">
        <w:rPr>
          <w:sz w:val="20"/>
          <w:szCs w:val="20"/>
        </w:rPr>
        <w:t xml:space="preserve">Remember, the goal of EPSO Week is to expand access to and enrollment in early postsecondary opportunities across the state. EPSO Week serves as a platform for schools, students, and parents to start thinking about early postsecondary opportunities, college, and begin planning their future. </w:t>
      </w:r>
      <w:r w:rsidR="00D83547">
        <w:rPr>
          <w:sz w:val="20"/>
          <w:szCs w:val="20"/>
        </w:rPr>
        <w:t>Below are examples of how you can engage students in an age-appropriate way.</w:t>
      </w:r>
    </w:p>
    <w:p w14:paraId="2F774903" w14:textId="7849956D" w:rsidR="00B803BE" w:rsidRDefault="00D83547" w:rsidP="00B803BE">
      <w:pPr>
        <w:pStyle w:val="Heading2"/>
      </w:pPr>
      <w:r>
        <w:t>Dress the Part</w:t>
      </w:r>
    </w:p>
    <w:p w14:paraId="4254831D" w14:textId="6CE9A320" w:rsidR="00035FEB" w:rsidRDefault="41BE810F" w:rsidP="00035FEB">
      <w:pPr>
        <w:rPr>
          <w:sz w:val="20"/>
          <w:szCs w:val="20"/>
        </w:rPr>
      </w:pPr>
      <w:r w:rsidRPr="4D007418">
        <w:rPr>
          <w:sz w:val="20"/>
          <w:szCs w:val="20"/>
        </w:rPr>
        <w:t>Encourage teachers and staff to wear a t-shirt, sweatshirt, or hat from the college they attended, or have them bring in their college yearbook or other items with their college mascot to share with students. During morning or advisory meetings, have teachers spend a few minutes talking about college and available early postsecondary opportunities in Tennessee. Be sure to have teachers highlight those EPSOs such as Cambridge, International Baccalaureate, and Advanced Placement which students can take advantage of as early as middle school.</w:t>
      </w:r>
    </w:p>
    <w:p w14:paraId="7C68F4C2" w14:textId="0595D259" w:rsidR="003157EB" w:rsidRDefault="003157EB" w:rsidP="003157EB">
      <w:pPr>
        <w:pStyle w:val="Heading2"/>
      </w:pPr>
      <w:r>
        <w:t>Imagine Your Dream College</w:t>
      </w:r>
    </w:p>
    <w:p w14:paraId="3F36BE0F" w14:textId="413C7CDC" w:rsidR="00035FEB" w:rsidRDefault="00FB6EFE" w:rsidP="00035FEB">
      <w:pPr>
        <w:rPr>
          <w:sz w:val="20"/>
          <w:szCs w:val="20"/>
        </w:rPr>
      </w:pPr>
      <w:r w:rsidRPr="00FB6EFE">
        <w:rPr>
          <w:sz w:val="20"/>
          <w:szCs w:val="20"/>
        </w:rPr>
        <w:t>Bring together art, writing, and imagination with college knowledge by asking students to imagine their dream college. Ask them to think about where that college would be, what kinds of classes they’d want to take, what the dorms would be like, and even what the cafeteria is serving up for dinner! Students can write a short paragraph or even a brochure advertising their school, and can finish their project by creating a school pennant with colors, symbols, and a motto that symbolize their school</w:t>
      </w:r>
    </w:p>
    <w:p w14:paraId="293DB1C7" w14:textId="1E27B172" w:rsidR="00FB6EFE" w:rsidRDefault="00FB6EFE" w:rsidP="00FB6EFE">
      <w:pPr>
        <w:pStyle w:val="Heading2"/>
      </w:pPr>
      <w:r>
        <w:t>College Day</w:t>
      </w:r>
    </w:p>
    <w:p w14:paraId="488ECC3A" w14:textId="47B369D5" w:rsidR="00FB6EFE" w:rsidRDefault="00FB6EFE" w:rsidP="00FB6EFE">
      <w:pPr>
        <w:rPr>
          <w:sz w:val="20"/>
          <w:szCs w:val="20"/>
        </w:rPr>
      </w:pPr>
      <w:r>
        <w:rPr>
          <w:sz w:val="20"/>
          <w:szCs w:val="20"/>
        </w:rPr>
        <w:t>Encourage teachers and staff to wear apparel from their alma mater. Students can wear apparel from their favorite postsecondary institution. This is a great way for teachers to start a conversation about their college experience, as well as how early postsecondary opportunities can decrease the time and cost of obtaining a degree.</w:t>
      </w:r>
    </w:p>
    <w:p w14:paraId="351C0D7C" w14:textId="66E53B59" w:rsidR="00FB6EFE" w:rsidRDefault="00640E84" w:rsidP="00FB6EFE">
      <w:pPr>
        <w:pStyle w:val="Heading2"/>
      </w:pPr>
      <w:r>
        <w:t>Door Decorating Contest</w:t>
      </w:r>
    </w:p>
    <w:p w14:paraId="48EFDDC8" w14:textId="7FD91939" w:rsidR="00FB6EFE" w:rsidRDefault="02B89980" w:rsidP="00FB6EFE">
      <w:pPr>
        <w:rPr>
          <w:sz w:val="20"/>
          <w:szCs w:val="20"/>
        </w:rPr>
      </w:pPr>
      <w:r w:rsidRPr="4D007418">
        <w:rPr>
          <w:sz w:val="20"/>
          <w:szCs w:val="20"/>
        </w:rPr>
        <w:t>Create college buzz with some friendly competition. Which homeroom can design the most creative EPSO-themed door decoration?</w:t>
      </w:r>
      <w:r w:rsidR="00640E84">
        <w:br/>
      </w:r>
      <w:r w:rsidR="00640E84">
        <w:br/>
      </w:r>
    </w:p>
    <w:p w14:paraId="0B7742EA" w14:textId="21A744CD" w:rsidR="00640E84" w:rsidRDefault="00640E84" w:rsidP="00640E84">
      <w:pPr>
        <w:pStyle w:val="Heading2"/>
      </w:pPr>
      <w:r>
        <w:lastRenderedPageBreak/>
        <w:t>Guest Speakers</w:t>
      </w:r>
    </w:p>
    <w:p w14:paraId="756DAC48" w14:textId="04858804" w:rsidR="00640E84" w:rsidRDefault="00640E84" w:rsidP="00640E84">
      <w:pPr>
        <w:rPr>
          <w:sz w:val="20"/>
          <w:szCs w:val="20"/>
        </w:rPr>
      </w:pPr>
      <w:r>
        <w:rPr>
          <w:sz w:val="20"/>
          <w:szCs w:val="20"/>
        </w:rPr>
        <w:t>Work with your local high school to recruit a high</w:t>
      </w:r>
      <w:r w:rsidR="00DD4384">
        <w:rPr>
          <w:sz w:val="20"/>
          <w:szCs w:val="20"/>
        </w:rPr>
        <w:t xml:space="preserve"> school student or school counselor to talk to students about early postsecondary opportunities, college, and career</w:t>
      </w:r>
    </w:p>
    <w:p w14:paraId="00033D5D" w14:textId="1DCEE15C" w:rsidR="00DD4384" w:rsidRDefault="00DD4384" w:rsidP="00DD4384">
      <w:pPr>
        <w:pStyle w:val="Heading2"/>
      </w:pPr>
      <w:r>
        <w:t>Teacher Involvement</w:t>
      </w:r>
    </w:p>
    <w:p w14:paraId="11BFA400" w14:textId="4234AF48" w:rsidR="00DD4384" w:rsidRDefault="2480FD8D" w:rsidP="00DD4384">
      <w:pPr>
        <w:rPr>
          <w:sz w:val="20"/>
          <w:szCs w:val="20"/>
        </w:rPr>
      </w:pPr>
      <w:r w:rsidRPr="4D007418">
        <w:rPr>
          <w:sz w:val="20"/>
          <w:szCs w:val="20"/>
        </w:rPr>
        <w:t>Encourage teachers to take some time and share their</w:t>
      </w:r>
      <w:r w:rsidR="6E7A4598" w:rsidRPr="4D007418">
        <w:rPr>
          <w:sz w:val="20"/>
          <w:szCs w:val="20"/>
        </w:rPr>
        <w:t xml:space="preserve"> experience with</w:t>
      </w:r>
      <w:r w:rsidRPr="4D007418">
        <w:rPr>
          <w:sz w:val="20"/>
          <w:szCs w:val="20"/>
        </w:rPr>
        <w:t xml:space="preserve"> postsecondary and early postsecondary opportunit</w:t>
      </w:r>
      <w:r w:rsidR="71D2FFC6" w:rsidRPr="4D007418">
        <w:rPr>
          <w:sz w:val="20"/>
          <w:szCs w:val="20"/>
        </w:rPr>
        <w:t>ies</w:t>
      </w:r>
      <w:r w:rsidRPr="4D007418">
        <w:rPr>
          <w:sz w:val="20"/>
          <w:szCs w:val="20"/>
        </w:rPr>
        <w:t xml:space="preserve"> (if applicable).</w:t>
      </w:r>
    </w:p>
    <w:p w14:paraId="257B2816" w14:textId="349BD1EE" w:rsidR="00423598" w:rsidRDefault="2480FD8D" w:rsidP="00423598">
      <w:pPr>
        <w:pStyle w:val="Heading2"/>
      </w:pPr>
      <w:r>
        <w:t>Bring College to Middle School</w:t>
      </w:r>
    </w:p>
    <w:p w14:paraId="1B11E785" w14:textId="3C929783" w:rsidR="00035FEB" w:rsidRPr="002F497F" w:rsidRDefault="00423598" w:rsidP="002F497F">
      <w:r>
        <w:rPr>
          <w:sz w:val="20"/>
          <w:szCs w:val="20"/>
        </w:rPr>
        <w:t xml:space="preserve">Invite representatives from local colleges to talk to students about their institutions. Invite local alumni who are attending college or recently </w:t>
      </w:r>
      <w:r w:rsidR="00E354DA">
        <w:rPr>
          <w:sz w:val="20"/>
          <w:szCs w:val="20"/>
        </w:rPr>
        <w:t>graduated</w:t>
      </w:r>
      <w:r w:rsidR="00AF7E3D">
        <w:rPr>
          <w:sz w:val="20"/>
          <w:szCs w:val="20"/>
        </w:rPr>
        <w:t xml:space="preserve"> to share their experiences with college. Take students on virtual college tours through the college </w:t>
      </w:r>
      <w:r w:rsidR="00E354DA">
        <w:rPr>
          <w:sz w:val="20"/>
          <w:szCs w:val="20"/>
        </w:rPr>
        <w:t>websites</w:t>
      </w:r>
      <w:r w:rsidR="00AF7E3D">
        <w:rPr>
          <w:sz w:val="20"/>
          <w:szCs w:val="20"/>
        </w:rPr>
        <w:t xml:space="preserve">. </w:t>
      </w:r>
    </w:p>
    <w:p w14:paraId="18EB95B6" w14:textId="77777777" w:rsidR="00035FEB" w:rsidRDefault="00035FEB" w:rsidP="00035FEB"/>
    <w:p w14:paraId="20DB2A08" w14:textId="77777777" w:rsidR="001F4FDC" w:rsidRDefault="001F4FDC" w:rsidP="002115D4">
      <w:pPr>
        <w:pStyle w:val="Heading1"/>
      </w:pPr>
    </w:p>
    <w:sectPr w:rsidR="001F4FDC" w:rsidSect="00CF3869">
      <w:footerReference w:type="default" r:id="rId22"/>
      <w:footerReference w:type="first" r:id="rId23"/>
      <w:pgSz w:w="12240" w:h="15840"/>
      <w:pgMar w:top="1440" w:right="1080" w:bottom="1440" w:left="1080" w:header="720" w:footer="3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BE9F" w14:textId="77777777" w:rsidR="00EA5C9A" w:rsidRDefault="00EA5C9A" w:rsidP="008915DD">
      <w:r>
        <w:separator/>
      </w:r>
    </w:p>
  </w:endnote>
  <w:endnote w:type="continuationSeparator" w:id="0">
    <w:p w14:paraId="2BE8DCFD" w14:textId="77777777" w:rsidR="00EA5C9A" w:rsidRDefault="00EA5C9A"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603066"/>
      <w:docPartObj>
        <w:docPartGallery w:val="Page Numbers (Bottom of Page)"/>
        <w:docPartUnique/>
      </w:docPartObj>
    </w:sdtPr>
    <w:sdtEndPr>
      <w:rPr>
        <w:noProof/>
      </w:rPr>
    </w:sdtEndPr>
    <w:sdtContent>
      <w:p w14:paraId="43A49890" w14:textId="77777777" w:rsidR="00060BAC" w:rsidRDefault="00060BAC">
        <w:pPr>
          <w:pStyle w:val="Footer"/>
          <w:jc w:val="right"/>
        </w:pPr>
        <w:r>
          <w:fldChar w:fldCharType="begin"/>
        </w:r>
        <w:r>
          <w:instrText xml:space="preserve"> PAGE   \* MERGEFORMAT </w:instrText>
        </w:r>
        <w:r>
          <w:fldChar w:fldCharType="separate"/>
        </w:r>
        <w:r w:rsidR="000A795F">
          <w:rPr>
            <w:noProof/>
          </w:rPr>
          <w:t>8</w:t>
        </w:r>
        <w:r>
          <w:rPr>
            <w:noProof/>
          </w:rPr>
          <w:fldChar w:fldCharType="end"/>
        </w:r>
      </w:p>
    </w:sdtContent>
  </w:sdt>
  <w:p w14:paraId="1C7DB810" w14:textId="77777777" w:rsidR="00060BAC" w:rsidRDefault="00060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A85E" w14:textId="77777777" w:rsidR="00745A39" w:rsidRDefault="00745A39">
    <w:pPr>
      <w:pStyle w:val="Footer"/>
    </w:pPr>
    <w:r>
      <w:rPr>
        <w:noProof/>
      </w:rPr>
      <w:drawing>
        <wp:anchor distT="0" distB="0" distL="114300" distR="114300" simplePos="0" relativeHeight="251659264" behindDoc="0" locked="0" layoutInCell="1" allowOverlap="1" wp14:anchorId="70ADE1BF" wp14:editId="59BA56F8">
          <wp:simplePos x="0" y="0"/>
          <wp:positionH relativeFrom="margin">
            <wp:posOffset>-128270</wp:posOffset>
          </wp:positionH>
          <wp:positionV relativeFrom="margin">
            <wp:posOffset>7772400</wp:posOffset>
          </wp:positionV>
          <wp:extent cx="1728216" cy="941832"/>
          <wp:effectExtent l="0" t="0" r="0" b="0"/>
          <wp:wrapSquare wrapText="bothSides"/>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8216" cy="9418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B46D" w14:textId="77777777" w:rsidR="00EA5C9A" w:rsidRPr="00A82423" w:rsidRDefault="00EA5C9A" w:rsidP="00C511FD">
      <w:pPr>
        <w:pStyle w:val="separator"/>
      </w:pPr>
      <w:r w:rsidRPr="00A82423">
        <w:separator/>
      </w:r>
    </w:p>
  </w:footnote>
  <w:footnote w:type="continuationSeparator" w:id="0">
    <w:p w14:paraId="0CCB5EB4" w14:textId="77777777" w:rsidR="00EA5C9A" w:rsidRPr="00A82423" w:rsidRDefault="00EA5C9A" w:rsidP="00C511FD">
      <w:pPr>
        <w:pStyle w:val="separator"/>
      </w:pPr>
      <w:r w:rsidRPr="00A82423">
        <w:continuationSeparator/>
      </w:r>
    </w:p>
  </w:footnote>
  <w:footnote w:type="continuationNotice" w:id="1">
    <w:p w14:paraId="2F579321" w14:textId="77777777" w:rsidR="00EA5C9A" w:rsidRDefault="00EA5C9A">
      <w:pPr>
        <w:spacing w:after="0" w:line="240" w:lineRule="auto"/>
      </w:pPr>
    </w:p>
  </w:footnote>
</w:footnotes>
</file>

<file path=word/intelligence2.xml><?xml version="1.0" encoding="utf-8"?>
<int2:intelligence xmlns:int2="http://schemas.microsoft.com/office/intelligence/2020/intelligence">
  <int2:observations>
    <int2:bookmark int2:bookmarkName="_Int_h7TIhhHR" int2:invalidationBookmarkName="" int2:hashCode="6tzZvSoJx1rvBJ" int2:id="3ll42PU0"/>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A1040"/>
    <w:multiLevelType w:val="hybridMultilevel"/>
    <w:tmpl w:val="82906D98"/>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76BD7"/>
    <w:multiLevelType w:val="hybridMultilevel"/>
    <w:tmpl w:val="C21AD490"/>
    <w:lvl w:ilvl="0" w:tplc="6BC85D74">
      <w:start w:val="1"/>
      <w:numFmt w:val="bullet"/>
      <w:lvlText w:val=""/>
      <w:lvlJc w:val="left"/>
      <w:pPr>
        <w:ind w:left="720" w:hanging="360"/>
      </w:pPr>
      <w:rPr>
        <w:rFonts w:ascii="Symbol" w:hAnsi="Symbol" w:hint="default"/>
        <w:color w:val="3C3E4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2F"/>
    <w:rsid w:val="00013579"/>
    <w:rsid w:val="00035FEB"/>
    <w:rsid w:val="00043E64"/>
    <w:rsid w:val="00057725"/>
    <w:rsid w:val="00060BAC"/>
    <w:rsid w:val="00076EBB"/>
    <w:rsid w:val="00086518"/>
    <w:rsid w:val="000A2F84"/>
    <w:rsid w:val="000A5E71"/>
    <w:rsid w:val="000A795F"/>
    <w:rsid w:val="000B119E"/>
    <w:rsid w:val="000D5162"/>
    <w:rsid w:val="000E0D2E"/>
    <w:rsid w:val="000E552F"/>
    <w:rsid w:val="000E583C"/>
    <w:rsid w:val="00112CE2"/>
    <w:rsid w:val="001164CE"/>
    <w:rsid w:val="001219E4"/>
    <w:rsid w:val="0014579A"/>
    <w:rsid w:val="0015613B"/>
    <w:rsid w:val="00164E9A"/>
    <w:rsid w:val="001808F6"/>
    <w:rsid w:val="00182ED1"/>
    <w:rsid w:val="001B20CD"/>
    <w:rsid w:val="001F4FDC"/>
    <w:rsid w:val="002115D4"/>
    <w:rsid w:val="00222023"/>
    <w:rsid w:val="0028434C"/>
    <w:rsid w:val="002861AE"/>
    <w:rsid w:val="00295550"/>
    <w:rsid w:val="002B50E0"/>
    <w:rsid w:val="002C7CC9"/>
    <w:rsid w:val="002F497F"/>
    <w:rsid w:val="00302EFF"/>
    <w:rsid w:val="003157EB"/>
    <w:rsid w:val="0033494C"/>
    <w:rsid w:val="00337F68"/>
    <w:rsid w:val="00350C98"/>
    <w:rsid w:val="0035528A"/>
    <w:rsid w:val="003627F6"/>
    <w:rsid w:val="0036523E"/>
    <w:rsid w:val="00373786"/>
    <w:rsid w:val="003809E4"/>
    <w:rsid w:val="00387BCC"/>
    <w:rsid w:val="003C007B"/>
    <w:rsid w:val="003C1DC6"/>
    <w:rsid w:val="003C1F3F"/>
    <w:rsid w:val="003D1D83"/>
    <w:rsid w:val="003E64C3"/>
    <w:rsid w:val="003F14FF"/>
    <w:rsid w:val="004012D1"/>
    <w:rsid w:val="00403F45"/>
    <w:rsid w:val="004072A4"/>
    <w:rsid w:val="0041735B"/>
    <w:rsid w:val="00421041"/>
    <w:rsid w:val="00423598"/>
    <w:rsid w:val="00442A7C"/>
    <w:rsid w:val="00490391"/>
    <w:rsid w:val="004B7AD9"/>
    <w:rsid w:val="0052266D"/>
    <w:rsid w:val="005243EB"/>
    <w:rsid w:val="005444EF"/>
    <w:rsid w:val="00547DF5"/>
    <w:rsid w:val="005A5697"/>
    <w:rsid w:val="005D3592"/>
    <w:rsid w:val="005F1733"/>
    <w:rsid w:val="00606638"/>
    <w:rsid w:val="00640E84"/>
    <w:rsid w:val="00644DA3"/>
    <w:rsid w:val="006714ED"/>
    <w:rsid w:val="00671953"/>
    <w:rsid w:val="00676DCD"/>
    <w:rsid w:val="006B5C2F"/>
    <w:rsid w:val="00717342"/>
    <w:rsid w:val="0071782D"/>
    <w:rsid w:val="00722A08"/>
    <w:rsid w:val="00726914"/>
    <w:rsid w:val="00731E1C"/>
    <w:rsid w:val="00745A39"/>
    <w:rsid w:val="007C0FF9"/>
    <w:rsid w:val="007C582C"/>
    <w:rsid w:val="007D6BAA"/>
    <w:rsid w:val="00822269"/>
    <w:rsid w:val="00824275"/>
    <w:rsid w:val="008260A7"/>
    <w:rsid w:val="00885B24"/>
    <w:rsid w:val="008915DD"/>
    <w:rsid w:val="00897CAD"/>
    <w:rsid w:val="008A37CA"/>
    <w:rsid w:val="008F27D5"/>
    <w:rsid w:val="00935C9E"/>
    <w:rsid w:val="00967ABD"/>
    <w:rsid w:val="00982931"/>
    <w:rsid w:val="00985868"/>
    <w:rsid w:val="009A4968"/>
    <w:rsid w:val="009A60D1"/>
    <w:rsid w:val="009A7A7E"/>
    <w:rsid w:val="009C0E2E"/>
    <w:rsid w:val="009C0E66"/>
    <w:rsid w:val="009F14C7"/>
    <w:rsid w:val="00A31256"/>
    <w:rsid w:val="00A54B7A"/>
    <w:rsid w:val="00A6596C"/>
    <w:rsid w:val="00A82423"/>
    <w:rsid w:val="00A83CBF"/>
    <w:rsid w:val="00A90A8F"/>
    <w:rsid w:val="00A94C6F"/>
    <w:rsid w:val="00AD0048"/>
    <w:rsid w:val="00AF1F33"/>
    <w:rsid w:val="00AF7E3D"/>
    <w:rsid w:val="00B06585"/>
    <w:rsid w:val="00B245F2"/>
    <w:rsid w:val="00B27BC2"/>
    <w:rsid w:val="00B34A34"/>
    <w:rsid w:val="00B73D34"/>
    <w:rsid w:val="00B74A7A"/>
    <w:rsid w:val="00B77718"/>
    <w:rsid w:val="00B77DF1"/>
    <w:rsid w:val="00B803BE"/>
    <w:rsid w:val="00B8290D"/>
    <w:rsid w:val="00BD5FE8"/>
    <w:rsid w:val="00BF4777"/>
    <w:rsid w:val="00C146C1"/>
    <w:rsid w:val="00C322E0"/>
    <w:rsid w:val="00C348B6"/>
    <w:rsid w:val="00C40575"/>
    <w:rsid w:val="00C419C6"/>
    <w:rsid w:val="00C511FD"/>
    <w:rsid w:val="00C51C0F"/>
    <w:rsid w:val="00C57416"/>
    <w:rsid w:val="00C729E7"/>
    <w:rsid w:val="00CA20F3"/>
    <w:rsid w:val="00CD2A4D"/>
    <w:rsid w:val="00CD5F10"/>
    <w:rsid w:val="00CF2A19"/>
    <w:rsid w:val="00CF3869"/>
    <w:rsid w:val="00D257EF"/>
    <w:rsid w:val="00D31E56"/>
    <w:rsid w:val="00D64400"/>
    <w:rsid w:val="00D83547"/>
    <w:rsid w:val="00D8760F"/>
    <w:rsid w:val="00DA25A8"/>
    <w:rsid w:val="00DA3E86"/>
    <w:rsid w:val="00DA54D1"/>
    <w:rsid w:val="00DC2C6D"/>
    <w:rsid w:val="00DD4384"/>
    <w:rsid w:val="00DE78DA"/>
    <w:rsid w:val="00DF6E86"/>
    <w:rsid w:val="00E23534"/>
    <w:rsid w:val="00E354DA"/>
    <w:rsid w:val="00E40B34"/>
    <w:rsid w:val="00E43610"/>
    <w:rsid w:val="00E533AA"/>
    <w:rsid w:val="00E67637"/>
    <w:rsid w:val="00E87108"/>
    <w:rsid w:val="00EA5C9A"/>
    <w:rsid w:val="00EC0FDC"/>
    <w:rsid w:val="00EC3B3F"/>
    <w:rsid w:val="00EC729C"/>
    <w:rsid w:val="00F04331"/>
    <w:rsid w:val="00F904CA"/>
    <w:rsid w:val="00F92D33"/>
    <w:rsid w:val="00FB6EFE"/>
    <w:rsid w:val="00FE60F2"/>
    <w:rsid w:val="02B89980"/>
    <w:rsid w:val="071F681D"/>
    <w:rsid w:val="079D3A13"/>
    <w:rsid w:val="0CFBCB86"/>
    <w:rsid w:val="0D93FD29"/>
    <w:rsid w:val="0DDDF69F"/>
    <w:rsid w:val="10E52418"/>
    <w:rsid w:val="12C4945B"/>
    <w:rsid w:val="13DC506E"/>
    <w:rsid w:val="14E41B57"/>
    <w:rsid w:val="154D598A"/>
    <w:rsid w:val="175BA7BC"/>
    <w:rsid w:val="17E5B4E6"/>
    <w:rsid w:val="1C63D1E0"/>
    <w:rsid w:val="1CD7A079"/>
    <w:rsid w:val="1E716C64"/>
    <w:rsid w:val="1EA0BEDB"/>
    <w:rsid w:val="1F9F3E00"/>
    <w:rsid w:val="21755543"/>
    <w:rsid w:val="2480FD8D"/>
    <w:rsid w:val="283BF5CD"/>
    <w:rsid w:val="287D9938"/>
    <w:rsid w:val="289F2E67"/>
    <w:rsid w:val="29E319FB"/>
    <w:rsid w:val="29F91E54"/>
    <w:rsid w:val="2BF45736"/>
    <w:rsid w:val="2E10A50C"/>
    <w:rsid w:val="2F89382E"/>
    <w:rsid w:val="2FCE95FA"/>
    <w:rsid w:val="303D5EA4"/>
    <w:rsid w:val="30993153"/>
    <w:rsid w:val="34E44C6A"/>
    <w:rsid w:val="35425934"/>
    <w:rsid w:val="362D8CA3"/>
    <w:rsid w:val="37E61728"/>
    <w:rsid w:val="37F26DC1"/>
    <w:rsid w:val="3A84B754"/>
    <w:rsid w:val="3ADC4277"/>
    <w:rsid w:val="3B125297"/>
    <w:rsid w:val="3BD83EAD"/>
    <w:rsid w:val="3E92206B"/>
    <w:rsid w:val="4047369E"/>
    <w:rsid w:val="41BE810F"/>
    <w:rsid w:val="42F81FBC"/>
    <w:rsid w:val="44061C77"/>
    <w:rsid w:val="45AA580D"/>
    <w:rsid w:val="46473F44"/>
    <w:rsid w:val="46BAFA1D"/>
    <w:rsid w:val="4B2047F3"/>
    <w:rsid w:val="4C05BC86"/>
    <w:rsid w:val="4D007418"/>
    <w:rsid w:val="50BEDDFC"/>
    <w:rsid w:val="51DD2F54"/>
    <w:rsid w:val="539EE1E0"/>
    <w:rsid w:val="55041C2D"/>
    <w:rsid w:val="5689D84C"/>
    <w:rsid w:val="5741EB4E"/>
    <w:rsid w:val="59EB4814"/>
    <w:rsid w:val="5A7D9190"/>
    <w:rsid w:val="5AB5D7AA"/>
    <w:rsid w:val="5BE24534"/>
    <w:rsid w:val="5DEBF0C2"/>
    <w:rsid w:val="5EBD3FFA"/>
    <w:rsid w:val="5F46CB38"/>
    <w:rsid w:val="60E657B6"/>
    <w:rsid w:val="672F7B15"/>
    <w:rsid w:val="68FDA68C"/>
    <w:rsid w:val="6A3389C7"/>
    <w:rsid w:val="6CF815E4"/>
    <w:rsid w:val="6E18283F"/>
    <w:rsid w:val="6E7A4598"/>
    <w:rsid w:val="7197E766"/>
    <w:rsid w:val="71D2FFC6"/>
    <w:rsid w:val="7264175B"/>
    <w:rsid w:val="7555BEFE"/>
    <w:rsid w:val="7F7FE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0DE8F"/>
  <w15:docId w15:val="{87C11A71-A600-4A3C-B69D-50EC146B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5DD"/>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2115D4"/>
    <w:pPr>
      <w:spacing w:after="120" w:line="240" w:lineRule="auto"/>
      <w:outlineLvl w:val="0"/>
    </w:pPr>
    <w:rPr>
      <w:rFonts w:ascii="PermianSlabSerifTypeface" w:hAnsi="PermianSlabSerifTypeface"/>
      <w:b/>
      <w:color w:val="6E7073" w:themeColor="text2"/>
      <w:spacing w:val="-20"/>
      <w:sz w:val="44"/>
      <w:szCs w:val="26"/>
    </w:rPr>
  </w:style>
  <w:style w:type="paragraph" w:styleId="Heading2">
    <w:name w:val="heading 2"/>
    <w:aliases w:val="Sub-heading"/>
    <w:basedOn w:val="Normal"/>
    <w:next w:val="Normal"/>
    <w:link w:val="Heading2Char"/>
    <w:uiPriority w:val="9"/>
    <w:unhideWhenUsed/>
    <w:qFormat/>
    <w:rsid w:val="002115D4"/>
    <w:pPr>
      <w:spacing w:after="60" w:line="240" w:lineRule="auto"/>
      <w:outlineLvl w:val="1"/>
    </w:pPr>
    <w:rPr>
      <w:b/>
      <w:i/>
      <w:color w:val="0E2B5A" w:themeColor="accent2"/>
      <w:sz w:val="28"/>
    </w:rPr>
  </w:style>
  <w:style w:type="paragraph" w:styleId="Heading3">
    <w:name w:val="heading 3"/>
    <w:basedOn w:val="Normal"/>
    <w:next w:val="Normal"/>
    <w:link w:val="Heading3Char"/>
    <w:uiPriority w:val="9"/>
    <w:semiHidden/>
    <w:unhideWhenUsed/>
    <w:rsid w:val="00A54B7A"/>
    <w:pPr>
      <w:keepNext/>
      <w:keepLines/>
      <w:spacing w:before="200" w:after="0"/>
      <w:outlineLvl w:val="2"/>
    </w:pPr>
    <w:rPr>
      <w:rFonts w:asciiTheme="majorHAnsi" w:eastAsiaTheme="majorEastAsia" w:hAnsiTheme="majorHAnsi" w:cstheme="majorBidi"/>
      <w:b/>
      <w:bCs w:val="0"/>
      <w:color w:val="EE34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2115D4"/>
    <w:pPr>
      <w:spacing w:after="120" w:line="240" w:lineRule="auto"/>
    </w:pPr>
    <w:rPr>
      <w:rFonts w:ascii="PermianSlabSerifTypeface" w:hAnsi="PermianSlabSerifTypeface"/>
      <w:color w:val="0E2B5A" w:themeColor="accent2"/>
      <w:spacing w:val="-20"/>
      <w:kern w:val="52"/>
      <w:sz w:val="90"/>
      <w:szCs w:val="26"/>
    </w:rPr>
  </w:style>
  <w:style w:type="character" w:customStyle="1" w:styleId="TitleChar">
    <w:name w:val="Title Char"/>
    <w:basedOn w:val="DefaultParagraphFont"/>
    <w:link w:val="Title"/>
    <w:uiPriority w:val="10"/>
    <w:rsid w:val="002115D4"/>
    <w:rPr>
      <w:rFonts w:ascii="PermianSlabSerifTypeface" w:hAnsi="PermianSlabSerifTypeface" w:cs="Open Sans"/>
      <w:bCs/>
      <w:color w:val="0E2B5A" w:themeColor="accent2"/>
      <w:spacing w:val="-20"/>
      <w:kern w:val="52"/>
      <w:sz w:val="90"/>
      <w:szCs w:val="26"/>
    </w:rPr>
  </w:style>
  <w:style w:type="paragraph" w:styleId="Subtitle">
    <w:name w:val="Subtitle"/>
    <w:basedOn w:val="Normal"/>
    <w:next w:val="Normal"/>
    <w:link w:val="SubtitleChar"/>
    <w:uiPriority w:val="11"/>
    <w:qFormat/>
    <w:rsid w:val="002115D4"/>
    <w:pPr>
      <w:spacing w:after="240" w:line="240" w:lineRule="auto"/>
    </w:pPr>
    <w:rPr>
      <w:rFonts w:ascii="PermianSlabSerifTypeface" w:hAnsi="PermianSlabSerifTypeface"/>
      <w:color w:val="6E7073" w:themeColor="text2"/>
      <w:sz w:val="50"/>
      <w:szCs w:val="26"/>
    </w:rPr>
  </w:style>
  <w:style w:type="character" w:customStyle="1" w:styleId="SubtitleChar">
    <w:name w:val="Subtitle Char"/>
    <w:basedOn w:val="DefaultParagraphFont"/>
    <w:link w:val="Subtitle"/>
    <w:uiPriority w:val="11"/>
    <w:rsid w:val="002115D4"/>
    <w:rPr>
      <w:rFonts w:ascii="PermianSlabSerifTypeface" w:hAnsi="PermianSlabSerifTypeface" w:cs="Open Sans"/>
      <w:bCs/>
      <w:color w:val="6E7073" w:themeColor="text2"/>
      <w:sz w:val="50"/>
      <w:szCs w:val="26"/>
    </w:rPr>
  </w:style>
  <w:style w:type="paragraph" w:customStyle="1" w:styleId="Byline">
    <w:name w:val="Byline"/>
    <w:basedOn w:val="Normal"/>
    <w:link w:val="BylineChar"/>
    <w:qFormat/>
    <w:rsid w:val="00112CE2"/>
    <w:rPr>
      <w:color w:val="75787B"/>
      <w:sz w:val="18"/>
      <w:szCs w:val="26"/>
    </w:rPr>
  </w:style>
  <w:style w:type="character" w:customStyle="1" w:styleId="Heading1Char">
    <w:name w:val="Heading 1 Char"/>
    <w:basedOn w:val="DefaultParagraphFont"/>
    <w:link w:val="Heading1"/>
    <w:uiPriority w:val="9"/>
    <w:rsid w:val="002115D4"/>
    <w:rPr>
      <w:rFonts w:ascii="PermianSlabSerifTypeface" w:hAnsi="PermianSlabSerifTypeface" w:cs="Open Sans"/>
      <w:b/>
      <w:bCs/>
      <w:color w:val="6E7073" w:themeColor="text2"/>
      <w:spacing w:val="-20"/>
      <w:sz w:val="44"/>
      <w:szCs w:val="26"/>
    </w:rPr>
  </w:style>
  <w:style w:type="character" w:customStyle="1" w:styleId="BylineChar">
    <w:name w:val="Byline Char"/>
    <w:basedOn w:val="DefaultParagraphFont"/>
    <w:link w:val="Byline"/>
    <w:rsid w:val="00112CE2"/>
    <w:rPr>
      <w:rFonts w:ascii="Open Sans" w:hAnsi="Open Sans" w:cs="Open Sans"/>
      <w:bCs/>
      <w:color w:val="75787B"/>
      <w:sz w:val="18"/>
      <w:szCs w:val="26"/>
    </w:rPr>
  </w:style>
  <w:style w:type="character" w:customStyle="1" w:styleId="Heading2Char">
    <w:name w:val="Heading 2 Char"/>
    <w:aliases w:val="Sub-heading Char"/>
    <w:basedOn w:val="DefaultParagraphFont"/>
    <w:link w:val="Heading2"/>
    <w:uiPriority w:val="9"/>
    <w:rsid w:val="002115D4"/>
    <w:rPr>
      <w:rFonts w:ascii="Open Sans" w:hAnsi="Open Sans" w:cs="Open Sans"/>
      <w:b/>
      <w:bCs/>
      <w:i/>
      <w:color w:val="0E2B5A" w:themeColor="accent2"/>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rsid w:val="00E23534"/>
    <w:pPr>
      <w:spacing w:after="0"/>
      <w:jc w:val="center"/>
    </w:pPr>
    <w:rPr>
      <w:i/>
      <w:iCs/>
      <w:color w:val="9A9DA1"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2115D4"/>
    <w:pPr>
      <w:pBdr>
        <w:left w:val="single" w:sz="24" w:space="10" w:color="D22630"/>
      </w:pBdr>
    </w:pPr>
    <w:rPr>
      <w:rFonts w:ascii="PermianSlabSerifTypeface" w:hAnsi="PermianSlabSerifTypeface"/>
      <w:i/>
      <w:color w:val="6E7073" w:themeColor="text2"/>
      <w:sz w:val="28"/>
    </w:rPr>
  </w:style>
  <w:style w:type="character" w:customStyle="1" w:styleId="PullquoteChar">
    <w:name w:val="Pull quote Char"/>
    <w:basedOn w:val="DefaultParagraphFont"/>
    <w:link w:val="Pullquote"/>
    <w:rsid w:val="00E23534"/>
    <w:rPr>
      <w:rFonts w:ascii="Open Sans" w:hAnsi="Open Sans" w:cs="Open Sans"/>
      <w:bCs/>
      <w:i/>
      <w:iCs/>
      <w:color w:val="9A9DA1" w:themeColor="text1" w:themeTint="80"/>
      <w:sz w:val="24"/>
      <w:szCs w:val="21"/>
    </w:rPr>
  </w:style>
  <w:style w:type="character" w:customStyle="1" w:styleId="PullQuoteChar0">
    <w:name w:val="Pull Quote Char"/>
    <w:basedOn w:val="DefaultParagraphFont"/>
    <w:link w:val="PullQuote0"/>
    <w:rsid w:val="002115D4"/>
    <w:rPr>
      <w:rFonts w:ascii="PermianSlabSerifTypeface" w:hAnsi="PermianSlabSerifTypeface" w:cs="Open Sans"/>
      <w:bCs/>
      <w:i/>
      <w:color w:val="6E7073" w:themeColor="text2"/>
      <w:sz w:val="28"/>
      <w:szCs w:val="21"/>
    </w:rPr>
  </w:style>
  <w:style w:type="character" w:customStyle="1" w:styleId="Heading3Char">
    <w:name w:val="Heading 3 Char"/>
    <w:basedOn w:val="DefaultParagraphFont"/>
    <w:link w:val="Heading3"/>
    <w:uiPriority w:val="9"/>
    <w:semiHidden/>
    <w:rsid w:val="00A54B7A"/>
    <w:rPr>
      <w:rFonts w:asciiTheme="majorHAnsi" w:eastAsiaTheme="majorEastAsia" w:hAnsiTheme="majorHAnsi" w:cstheme="majorBidi"/>
      <w:b/>
      <w:color w:val="EE3424" w:themeColor="accent1"/>
      <w:sz w:val="21"/>
      <w:szCs w:val="21"/>
    </w:rPr>
  </w:style>
  <w:style w:type="table" w:styleId="TableGrid">
    <w:name w:val="Table Grid"/>
    <w:basedOn w:val="TableNormal"/>
    <w:uiPriority w:val="59"/>
    <w:rsid w:val="00B3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4A34"/>
    <w:rPr>
      <w:i/>
      <w:iCs/>
    </w:rPr>
  </w:style>
  <w:style w:type="paragraph" w:styleId="Header">
    <w:name w:val="header"/>
    <w:basedOn w:val="Normal"/>
    <w:link w:val="HeaderChar"/>
    <w:uiPriority w:val="99"/>
    <w:unhideWhenUsed/>
    <w:rsid w:val="0006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AC"/>
    <w:rPr>
      <w:rFonts w:ascii="Open Sans" w:hAnsi="Open Sans" w:cs="Open Sans"/>
      <w:bCs/>
      <w:sz w:val="21"/>
      <w:szCs w:val="21"/>
    </w:rPr>
  </w:style>
  <w:style w:type="paragraph" w:styleId="Footer">
    <w:name w:val="footer"/>
    <w:basedOn w:val="Normal"/>
    <w:link w:val="FooterChar"/>
    <w:uiPriority w:val="99"/>
    <w:unhideWhenUsed/>
    <w:rsid w:val="0006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AC"/>
    <w:rPr>
      <w:rFonts w:ascii="Open Sans" w:hAnsi="Open Sans" w:cs="Open Sans"/>
      <w:bCs/>
      <w:sz w:val="21"/>
      <w:szCs w:val="21"/>
    </w:rPr>
  </w:style>
  <w:style w:type="paragraph" w:styleId="CommentSubject">
    <w:name w:val="annotation subject"/>
    <w:basedOn w:val="CommentText"/>
    <w:next w:val="CommentText"/>
    <w:link w:val="CommentSubjectChar"/>
    <w:uiPriority w:val="99"/>
    <w:semiHidden/>
    <w:unhideWhenUsed/>
    <w:rsid w:val="00060BAC"/>
    <w:rPr>
      <w:b/>
      <w:sz w:val="20"/>
    </w:rPr>
  </w:style>
  <w:style w:type="character" w:customStyle="1" w:styleId="CommentSubjectChar">
    <w:name w:val="Comment Subject Char"/>
    <w:basedOn w:val="CommentTextChar"/>
    <w:link w:val="CommentSubject"/>
    <w:uiPriority w:val="99"/>
    <w:semiHidden/>
    <w:rsid w:val="00060BAC"/>
    <w:rPr>
      <w:rFonts w:ascii="Open Sans" w:hAnsi="Open Sans" w:cs="Open Sans"/>
      <w:b/>
      <w:bCs/>
      <w:sz w:val="20"/>
      <w:szCs w:val="20"/>
    </w:rPr>
  </w:style>
  <w:style w:type="paragraph" w:customStyle="1" w:styleId="TDOEMonthYear">
    <w:name w:val="TDOE | Month Year"/>
    <w:basedOn w:val="Subtitle"/>
    <w:qFormat/>
    <w:rsid w:val="002115D4"/>
    <w:rPr>
      <w:rFonts w:ascii="Open Sans" w:hAnsi="Open Sans"/>
      <w:sz w:val="24"/>
      <w:szCs w:val="24"/>
    </w:rPr>
  </w:style>
  <w:style w:type="paragraph" w:customStyle="1" w:styleId="Graphic-MainLabel">
    <w:name w:val="Graphic - Main Label"/>
    <w:basedOn w:val="Normal"/>
    <w:qFormat/>
    <w:rsid w:val="002115D4"/>
    <w:pPr>
      <w:spacing w:line="240" w:lineRule="auto"/>
      <w:jc w:val="right"/>
    </w:pPr>
    <w:rPr>
      <w:b/>
      <w:color w:val="3C3E40" w:themeColor="text1"/>
      <w:sz w:val="20"/>
    </w:rPr>
  </w:style>
  <w:style w:type="table" w:customStyle="1" w:styleId="TDOETable1">
    <w:name w:val="TDOE Table1"/>
    <w:basedOn w:val="TableNormal"/>
    <w:next w:val="TableGrid"/>
    <w:uiPriority w:val="39"/>
    <w:rsid w:val="000B119E"/>
    <w:pPr>
      <w:spacing w:after="0" w:line="240" w:lineRule="auto"/>
    </w:pPr>
    <w:rPr>
      <w:rFonts w:ascii="Open Sans" w:hAnsi="Open Sans"/>
      <w:color w:val="000000"/>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Open Sans" w:hAnsi="Open Sans"/>
        <w:b/>
        <w:i w:val="0"/>
        <w:color w:val="FFFFFF"/>
        <w:sz w:val="21"/>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002D72"/>
      </w:tcPr>
    </w:tblStylePr>
    <w:tblStylePr w:type="band1Horz">
      <w:tblPr/>
      <w:tcPr>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l2br w:val="nil"/>
          <w:tr2bl w:val="nil"/>
        </w:tcBorders>
      </w:tcPr>
    </w:tblStylePr>
    <w:tblStylePr w:type="band2Horz">
      <w:pPr>
        <w:jc w:val="left"/>
      </w:pPr>
      <w:rPr>
        <w:rFonts w:ascii="Open Sans" w:hAnsi="Open Sans"/>
        <w:b w:val="0"/>
        <w:i w:val="0"/>
        <w:sz w:val="20"/>
      </w:rPr>
      <w:tblPr/>
      <w:tcPr>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l2br w:val="nil"/>
          <w:tr2bl w:val="nil"/>
        </w:tcBorders>
        <w:shd w:val="clear" w:color="auto" w:fill="E7E6E6"/>
      </w:tcPr>
    </w:tblStylePr>
  </w:style>
  <w:style w:type="table" w:customStyle="1" w:styleId="TDOETable2">
    <w:name w:val="TDOE Table2"/>
    <w:basedOn w:val="TableNormal"/>
    <w:next w:val="TableGrid"/>
    <w:uiPriority w:val="39"/>
    <w:rsid w:val="00E67637"/>
    <w:pPr>
      <w:spacing w:after="0" w:line="240" w:lineRule="auto"/>
    </w:pPr>
    <w:rPr>
      <w:rFonts w:ascii="Open Sans" w:hAnsi="Open Sans"/>
      <w:color w:val="000000"/>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Open Sans" w:hAnsi="Open Sans"/>
        <w:b/>
        <w:i w:val="0"/>
        <w:color w:val="FFFFFF"/>
        <w:sz w:val="21"/>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002D72"/>
      </w:tcPr>
    </w:tblStylePr>
    <w:tblStylePr w:type="firstCol">
      <w:rPr>
        <w:b/>
        <w:color w:val="FFFFFF" w:themeColor="background1"/>
      </w:rPr>
      <w:tblPr/>
      <w:tcPr>
        <w:shd w:val="clear" w:color="auto" w:fill="EE3424" w:themeFill="accent1"/>
      </w:tcPr>
    </w:tblStylePr>
    <w:tblStylePr w:type="band1Horz">
      <w:tblPr/>
      <w:tcPr>
        <w:tcBorders>
          <w:top w:val="single" w:sz="2" w:space="0" w:color="A6A6A6"/>
          <w:left w:val="single" w:sz="2" w:space="0" w:color="A6A6A6"/>
          <w:bottom w:val="single" w:sz="2" w:space="0" w:color="A6A6A6"/>
          <w:right w:val="single" w:sz="2" w:space="0" w:color="A6A6A6"/>
          <w:insideH w:val="single" w:sz="2" w:space="0" w:color="A6A6A6"/>
          <w:insideV w:val="single" w:sz="2" w:space="0" w:color="A6A6A6"/>
          <w:tl2br w:val="nil"/>
          <w:tr2bl w:val="nil"/>
        </w:tcBorders>
      </w:tcPr>
    </w:tblStylePr>
    <w:tblStylePr w:type="band2Horz">
      <w:pPr>
        <w:jc w:val="left"/>
      </w:pPr>
      <w:rPr>
        <w:rFonts w:ascii="Open Sans" w:hAnsi="Open Sans"/>
        <w:b w:val="0"/>
        <w:i w:val="0"/>
        <w:sz w:val="20"/>
      </w:rPr>
      <w:tblPr/>
      <w:tcPr>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l2br w:val="nil"/>
          <w:tr2bl w:val="nil"/>
        </w:tcBorders>
        <w:shd w:val="clear" w:color="auto" w:fill="E7E6E6"/>
      </w:tcPr>
    </w:tblStylePr>
  </w:style>
  <w:style w:type="table" w:customStyle="1" w:styleId="TDOETable-Header1Column1">
    <w:name w:val="TDOE Table - Header1 + Column1"/>
    <w:basedOn w:val="TableProfessional"/>
    <w:uiPriority w:val="99"/>
    <w:rsid w:val="00717342"/>
    <w:pPr>
      <w:spacing w:after="0" w:line="240" w:lineRule="auto"/>
      <w:contextualSpacing/>
    </w:pPr>
    <w:rPr>
      <w:rFonts w:ascii="Arial Narrow" w:hAnsi="Arial Narrow"/>
      <w:sz w:val="20"/>
      <w:szCs w:val="20"/>
    </w:rPr>
    <w:tblPr>
      <w:tblStyleRowBandSize w:val="1"/>
      <w:tblStyleColBandSize w:val="1"/>
      <w:tblBorders>
        <w:top w:val="none" w:sz="0" w:space="0" w:color="auto"/>
        <w:left w:val="none" w:sz="0" w:space="0" w:color="auto"/>
        <w:bottom w:val="none" w:sz="0" w:space="0" w:color="auto"/>
        <w:right w:val="none" w:sz="0" w:space="0" w:color="auto"/>
        <w:insideH w:val="single" w:sz="4" w:space="0" w:color="D7D8D9" w:themeColor="text1" w:themeTint="33"/>
        <w:insideV w:val="single" w:sz="4" w:space="0" w:color="D7D8D9" w:themeColor="text1" w:themeTint="33"/>
      </w:tblBorders>
      <w:tblCellMar>
        <w:top w:w="58" w:type="dxa"/>
        <w:left w:w="216" w:type="dxa"/>
        <w:bottom w:w="58" w:type="dxa"/>
        <w:right w:w="144" w:type="dxa"/>
      </w:tblCellMar>
    </w:tblPr>
    <w:tcPr>
      <w:shd w:val="clear" w:color="auto" w:fill="auto"/>
      <w:vAlign w:val="center"/>
    </w:tcPr>
    <w:tblStylePr w:type="firstRow">
      <w:pPr>
        <w:jc w:val="center"/>
      </w:pPr>
      <w:rPr>
        <w:rFonts w:ascii="Arial" w:hAnsi="Arial"/>
        <w:b/>
        <w:bCs/>
        <w:i w:val="0"/>
        <w:color w:val="auto"/>
        <w:sz w:val="22"/>
      </w:rPr>
      <w:tblPr/>
      <w:trPr>
        <w:tblHeader/>
      </w:trPr>
      <w:tcPr>
        <w:tcBorders>
          <w:tl2br w:val="none" w:sz="0" w:space="0" w:color="auto"/>
          <w:tr2bl w:val="none" w:sz="0" w:space="0" w:color="auto"/>
        </w:tcBorders>
        <w:shd w:val="clear" w:color="auto" w:fill="0E2B5A" w:themeFill="accent2"/>
        <w:vAlign w:val="top"/>
      </w:tcPr>
    </w:tblStylePr>
    <w:tblStylePr w:type="lastRow">
      <w:rPr>
        <w:b/>
      </w:rPr>
    </w:tblStylePr>
    <w:tblStylePr w:type="firstCol">
      <w:rPr>
        <w:rFonts w:ascii="Arial" w:hAnsi="Arial"/>
        <w:b/>
        <w:i w:val="0"/>
      </w:rPr>
      <w:tblPr/>
      <w:tcPr>
        <w:shd w:val="clear" w:color="auto" w:fill="C4C5C7" w:themeFill="text2" w:themeFillTint="66"/>
      </w:tcPr>
    </w:tblStylePr>
    <w:tblStylePr w:type="lastCol">
      <w:pPr>
        <w:jc w:val="center"/>
      </w:pPr>
      <w:rPr>
        <w:b/>
      </w:rPr>
    </w:tblStylePr>
    <w:tblStylePr w:type="band1Vert">
      <w:pPr>
        <w:jc w:val="center"/>
      </w:pPr>
    </w:tblStylePr>
    <w:tblStylePr w:type="band2Vert">
      <w:pPr>
        <w:jc w:val="center"/>
      </w:pPr>
    </w:tblStylePr>
    <w:tblStylePr w:type="band1Horz">
      <w:tblPr/>
      <w:tcPr>
        <w:shd w:val="clear" w:color="auto" w:fill="EEEEEE" w:themeFill="background2"/>
      </w:tcPr>
    </w:tblStylePr>
  </w:style>
  <w:style w:type="table" w:styleId="TableProfessional">
    <w:name w:val="Table Professional"/>
    <w:basedOn w:val="TableNormal"/>
    <w:uiPriority w:val="99"/>
    <w:semiHidden/>
    <w:unhideWhenUsed/>
    <w:rsid w:val="00717342"/>
    <w:pPr>
      <w:spacing w:after="360"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0E552F"/>
    <w:rPr>
      <w:color w:val="0563C1" w:themeColor="hyperlink"/>
      <w:u w:val="single"/>
    </w:rPr>
  </w:style>
  <w:style w:type="character" w:styleId="UnresolvedMention">
    <w:name w:val="Unresolved Mention"/>
    <w:basedOn w:val="DefaultParagraphFont"/>
    <w:uiPriority w:val="99"/>
    <w:semiHidden/>
    <w:unhideWhenUsed/>
    <w:rsid w:val="000E5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ly.Postsecondary@tn.gov" TargetMode="External"/><Relationship Id="rId18" Type="http://schemas.openxmlformats.org/officeDocument/2006/relationships/hyperlink" Target="http://www.studentaid.gov"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tn.gov/education/student-support/school-counseling.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udentaid.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llegefortn.org/" TargetMode="External"/><Relationship Id="rId20" Type="http://schemas.openxmlformats.org/officeDocument/2006/relationships/hyperlink" Target="https://www.collegeboar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n.gov/education/early-postsecondary.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c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education/early-postsecondary.htm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20991\Downloads\TDOE-Sample-Report-2021.dotx" TargetMode="External"/></Relationships>
</file>

<file path=word/theme/theme1.xml><?xml version="1.0" encoding="utf-8"?>
<a:theme xmlns:a="http://schemas.openxmlformats.org/drawingml/2006/main" name="Office Theme">
  <a:themeElements>
    <a:clrScheme name="TDOE BFA 2021">
      <a:dk1>
        <a:srgbClr val="3C3E40"/>
      </a:dk1>
      <a:lt1>
        <a:srgbClr val="FFFFFF"/>
      </a:lt1>
      <a:dk2>
        <a:srgbClr val="6E7073"/>
      </a:dk2>
      <a:lt2>
        <a:srgbClr val="EEEEEE"/>
      </a:lt2>
      <a:accent1>
        <a:srgbClr val="EE3424"/>
      </a:accent1>
      <a:accent2>
        <a:srgbClr val="0E2B5A"/>
      </a:accent2>
      <a:accent3>
        <a:srgbClr val="E87722"/>
      </a:accent3>
      <a:accent4>
        <a:srgbClr val="2DCCD3"/>
      </a:accent4>
      <a:accent5>
        <a:srgbClr val="D2D755"/>
      </a:accent5>
      <a:accent6>
        <a:srgbClr val="5D797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ebac9a-f41f-435c-8658-24a8bd613481" xsi:nil="true"/>
    <lcf76f155ced4ddcb4097134ff3c332f xmlns="4cc0cc37-03da-4229-bf77-665fc6ac1e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7C81DB5D7A4409C538209B5E31D3D" ma:contentTypeVersion="16" ma:contentTypeDescription="Create a new document." ma:contentTypeScope="" ma:versionID="f923054987bdd45978ff43d95ac4cbcd">
  <xsd:schema xmlns:xsd="http://www.w3.org/2001/XMLSchema" xmlns:xs="http://www.w3.org/2001/XMLSchema" xmlns:p="http://schemas.microsoft.com/office/2006/metadata/properties" xmlns:ns2="4cc0cc37-03da-4229-bf77-665fc6ac1ecb" xmlns:ns3="ebebac9a-f41f-435c-8658-24a8bd613481" targetNamespace="http://schemas.microsoft.com/office/2006/metadata/properties" ma:root="true" ma:fieldsID="7fdf811b93f2518e86e0d30e853bca64" ns2:_="" ns3:_="">
    <xsd:import namespace="4cc0cc37-03da-4229-bf77-665fc6ac1ecb"/>
    <xsd:import namespace="ebebac9a-f41f-435c-8658-24a8bd6134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0cc37-03da-4229-bf77-665fc6ac1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ebac9a-f41f-435c-8658-24a8bd6134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116a99-8e42-48c0-9d42-bb0e8b24330e}" ma:internalName="TaxCatchAll" ma:showField="CatchAllData" ma:web="ebebac9a-f41f-435c-8658-24a8bd613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66F6F-DC63-41AD-80DA-10973707C870}">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ebebac9a-f41f-435c-8658-24a8bd613481"/>
    <ds:schemaRef ds:uri="http://schemas.microsoft.com/office/2006/documentManagement/types"/>
    <ds:schemaRef ds:uri="4cc0cc37-03da-4229-bf77-665fc6ac1ecb"/>
    <ds:schemaRef ds:uri="http://www.w3.org/XML/1998/namespace"/>
  </ds:schemaRefs>
</ds:datastoreItem>
</file>

<file path=customXml/itemProps2.xml><?xml version="1.0" encoding="utf-8"?>
<ds:datastoreItem xmlns:ds="http://schemas.openxmlformats.org/officeDocument/2006/customXml" ds:itemID="{BBE8EFF0-A754-45EF-AFB5-45605A036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0cc37-03da-4229-bf77-665fc6ac1ecb"/>
    <ds:schemaRef ds:uri="ebebac9a-f41f-435c-8658-24a8bd613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2414E-9245-4B32-AE27-D22694FB8A29}">
  <ds:schemaRefs>
    <ds:schemaRef ds:uri="http://schemas.openxmlformats.org/officeDocument/2006/bibliography"/>
  </ds:schemaRefs>
</ds:datastoreItem>
</file>

<file path=customXml/itemProps4.xml><?xml version="1.0" encoding="utf-8"?>
<ds:datastoreItem xmlns:ds="http://schemas.openxmlformats.org/officeDocument/2006/customXml" ds:itemID="{C95AFCB7-330D-4D91-98E5-C584D8DA6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TDOE-Sample-Report-2021</Template>
  <TotalTime>1</TotalTime>
  <Pages>10</Pages>
  <Words>2199</Words>
  <Characters>12535</Characters>
  <Application>Microsoft Office Word</Application>
  <DocSecurity>0</DocSecurity>
  <Lines>104</Lines>
  <Paragraphs>29</Paragraphs>
  <ScaleCrop>false</ScaleCrop>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Ambrose</dc:creator>
  <cp:lastModifiedBy>Liza Ambrose</cp:lastModifiedBy>
  <cp:revision>2</cp:revision>
  <dcterms:created xsi:type="dcterms:W3CDTF">2022-11-01T19:49:00Z</dcterms:created>
  <dcterms:modified xsi:type="dcterms:W3CDTF">2022-11-01T19:49:00Z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0x010100690CD87D1D75AC4B8CD23C1CB88958EF</vt:lpwstr>
  </property>
</Properties>
</file>