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5174" w14:textId="77777777" w:rsidR="00887FAF" w:rsidRDefault="00887FAF" w:rsidP="001521A1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Plans Review Checklist </w:t>
      </w:r>
    </w:p>
    <w:p w14:paraId="014C8DA3" w14:textId="77777777" w:rsidR="001521A1" w:rsidRPr="006C5CB6" w:rsidRDefault="00826096" w:rsidP="001521A1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Transitional Case Management</w:t>
      </w:r>
      <w:r w:rsidR="006F5884">
        <w:rPr>
          <w:rFonts w:ascii="Open Sans" w:hAnsi="Open Sans" w:cs="Open Sans"/>
          <w:b/>
        </w:rPr>
        <w:t xml:space="preserve">                 </w:t>
      </w:r>
      <w:r w:rsidR="003119AD">
        <w:rPr>
          <w:rFonts w:ascii="Open Sans" w:hAnsi="Open Sans" w:cs="Open Sans"/>
          <w:b/>
        </w:rPr>
        <w:t xml:space="preserve"> </w:t>
      </w:r>
      <w:r w:rsidR="00887FAF">
        <w:rPr>
          <w:rFonts w:ascii="Open Sans" w:hAnsi="Open Sans" w:cs="Open Sans"/>
          <w:b/>
        </w:rPr>
        <w:t xml:space="preserve"> </w:t>
      </w:r>
    </w:p>
    <w:p w14:paraId="3B2EDB04" w14:textId="77777777" w:rsidR="00887FAF" w:rsidRDefault="00887FAF" w:rsidP="00BE1434">
      <w:pPr>
        <w:rPr>
          <w:rFonts w:ascii="Open Sans" w:hAnsi="Open Sans" w:cs="Open Sans"/>
          <w:b/>
          <w:sz w:val="18"/>
          <w:szCs w:val="18"/>
        </w:rPr>
      </w:pPr>
    </w:p>
    <w:p w14:paraId="42BFAF59" w14:textId="77777777" w:rsidR="00BE1434" w:rsidRPr="006C5CB6" w:rsidRDefault="00BE1434" w:rsidP="00BE1434">
      <w:pPr>
        <w:rPr>
          <w:rFonts w:ascii="Open Sans" w:hAnsi="Open Sans" w:cs="Open Sans"/>
          <w:sz w:val="20"/>
          <w:szCs w:val="20"/>
        </w:rPr>
      </w:pPr>
    </w:p>
    <w:p w14:paraId="49D13AD9" w14:textId="77777777" w:rsidR="00BE1434" w:rsidRPr="006C5CB6" w:rsidRDefault="00BE1434" w:rsidP="00BE1434">
      <w:pPr>
        <w:jc w:val="center"/>
        <w:rPr>
          <w:rFonts w:ascii="Open Sans" w:hAnsi="Open Sans" w:cs="Open Sans"/>
          <w:sz w:val="20"/>
          <w:szCs w:val="20"/>
        </w:rPr>
      </w:pPr>
    </w:p>
    <w:p w14:paraId="7ACB70AB" w14:textId="19D77EC6" w:rsidR="00BE1434" w:rsidRPr="006C5CB6" w:rsidRDefault="00BE1434" w:rsidP="00BE1434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14485F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328D5EA6" wp14:editId="602C2D6C">
            <wp:extent cx="2303780" cy="228600"/>
            <wp:effectExtent l="0" t="0" r="1270" b="0"/>
            <wp:docPr id="1" name="Picture 8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14485F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7474D6C6" wp14:editId="6342F10F">
            <wp:extent cx="1101725" cy="228600"/>
            <wp:effectExtent l="0" t="0" r="3175" b="0"/>
            <wp:docPr id="2" name="Picture 7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E4827" w14:textId="77777777" w:rsidR="00BE1434" w:rsidRPr="006C5CB6" w:rsidRDefault="00BE1434" w:rsidP="00BE1434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5E130012" w14:textId="77777777" w:rsidR="00BE1434" w:rsidRPr="006C5CB6" w:rsidRDefault="00BE1434" w:rsidP="00BE1434">
      <w:pPr>
        <w:rPr>
          <w:rFonts w:ascii="Open Sans" w:hAnsi="Open Sans" w:cs="Open Sans"/>
          <w:b/>
          <w:sz w:val="20"/>
          <w:szCs w:val="20"/>
        </w:rPr>
      </w:pPr>
    </w:p>
    <w:p w14:paraId="19F68EB4" w14:textId="6704C0B1" w:rsidR="00BE1434" w:rsidRPr="006C5CB6" w:rsidRDefault="00BE1434" w:rsidP="00BE1434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14485F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41606D47" wp14:editId="45B5B59A">
            <wp:extent cx="1811020" cy="228600"/>
            <wp:effectExtent l="0" t="0" r="0" b="0"/>
            <wp:docPr id="3" name="Picture 6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14485F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2B4D26AB" wp14:editId="4C57584C">
            <wp:extent cx="1101725" cy="228600"/>
            <wp:effectExtent l="0" t="0" r="3175" b="0"/>
            <wp:docPr id="4" name="Picture 5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D52E7" w14:textId="77777777" w:rsidR="00BE1434" w:rsidRDefault="00BE1434" w:rsidP="00BE1434"/>
    <w:p w14:paraId="2EBAF9B4" w14:textId="77777777" w:rsidR="0089122A" w:rsidRPr="006C5CB6" w:rsidRDefault="0089122A">
      <w:pPr>
        <w:rPr>
          <w:rFonts w:ascii="Open Sans" w:hAnsi="Open Sans" w:cs="Open Sans"/>
          <w:b/>
          <w:sz w:val="20"/>
          <w:szCs w:val="20"/>
        </w:rPr>
      </w:pPr>
    </w:p>
    <w:tbl>
      <w:tblPr>
        <w:tblW w:w="1017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170"/>
      </w:tblGrid>
      <w:tr w:rsidR="00CC5C35" w:rsidRPr="00807B87" w14:paraId="61C72505" w14:textId="77777777" w:rsidTr="00080559">
        <w:trPr>
          <w:cantSplit/>
          <w:trHeight w:val="357"/>
        </w:trPr>
        <w:tc>
          <w:tcPr>
            <w:tcW w:w="10170" w:type="dxa"/>
            <w:shd w:val="clear" w:color="auto" w:fill="E0E0E0"/>
          </w:tcPr>
          <w:p w14:paraId="560A3CB1" w14:textId="77777777" w:rsidR="00CC5C35" w:rsidRPr="006C5CB6" w:rsidRDefault="00CC5C35" w:rsidP="007064CE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A.         </w:t>
            </w:r>
            <w:r w:rsidR="00826096" w:rsidRPr="00826096">
              <w:rPr>
                <w:rFonts w:ascii="Open Sans" w:hAnsi="Open Sans" w:cs="Open Sans"/>
                <w:b/>
                <w:sz w:val="20"/>
                <w:szCs w:val="20"/>
              </w:rPr>
              <w:t>Transitional Case Management</w:t>
            </w:r>
            <w:r w:rsidR="006F5884" w:rsidRPr="006F5884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               </w:t>
            </w:r>
          </w:p>
        </w:tc>
      </w:tr>
    </w:tbl>
    <w:p w14:paraId="2FE41F0A" w14:textId="77777777" w:rsidR="00C874F8" w:rsidRPr="006C5CB6" w:rsidRDefault="00C874F8">
      <w:pPr>
        <w:rPr>
          <w:rFonts w:ascii="Open Sans" w:hAnsi="Open Sans" w:cs="Open Sans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A319B7" w:rsidRPr="00807B87" w14:paraId="51BCC926" w14:textId="77777777" w:rsidTr="00404A4A">
        <w:trPr>
          <w:trHeight w:val="2510"/>
        </w:trPr>
        <w:tc>
          <w:tcPr>
            <w:tcW w:w="2065" w:type="dxa"/>
          </w:tcPr>
          <w:p w14:paraId="5D877D86" w14:textId="77777777" w:rsidR="00A319B7" w:rsidRPr="006C5CB6" w:rsidRDefault="0089122A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 </w: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</w:t>
            </w:r>
            <w:r w:rsidR="00CC5C35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1E7750B" w14:textId="77777777" w:rsidR="00DF4D02" w:rsidRDefault="00DF4D02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781E809" w14:textId="77777777" w:rsidR="00DF4D02" w:rsidRDefault="00DF4D02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DAF6E38" w14:textId="77777777" w:rsidR="00F24393" w:rsidRDefault="00F24393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E244916" w14:textId="77777777" w:rsidR="00404A4A" w:rsidRDefault="00404A4A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114BCD0" w14:textId="77777777" w:rsidR="003C351B" w:rsidRDefault="003C351B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39C6017" w14:textId="77777777" w:rsidR="00F24393" w:rsidRPr="006C5CB6" w:rsidRDefault="00F24393" w:rsidP="006F588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</w:tcPr>
          <w:p w14:paraId="411F14BE" w14:textId="77777777" w:rsidR="00826096" w:rsidRPr="00826096" w:rsidRDefault="00826096" w:rsidP="00826096">
            <w:pPr>
              <w:rPr>
                <w:rFonts w:ascii="Open Sans" w:hAnsi="Open Sans" w:cs="Open Sans"/>
                <w:sz w:val="20"/>
                <w:szCs w:val="20"/>
              </w:rPr>
            </w:pP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Is the person currently enrolled in a home and community-based services waiver program for </w:t>
            </w:r>
            <w:proofErr w:type="gramStart"/>
            <w:r w:rsidRPr="00826096">
              <w:rPr>
                <w:rFonts w:ascii="Open Sans" w:hAnsi="Open Sans" w:cs="Open Sans"/>
                <w:sz w:val="20"/>
                <w:szCs w:val="20"/>
              </w:rPr>
              <w:t>persons</w:t>
            </w:r>
            <w:proofErr w:type="gramEnd"/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 with intellectual and developmental disabilities?</w:t>
            </w:r>
          </w:p>
          <w:p w14:paraId="606B9450" w14:textId="77777777" w:rsidR="00826096" w:rsidRPr="00826096" w:rsidRDefault="00826096" w:rsidP="0082609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A25B25B" w14:textId="77777777" w:rsidR="00826096" w:rsidRPr="00826096" w:rsidRDefault="00826096" w:rsidP="00826096">
            <w:pPr>
              <w:rPr>
                <w:rFonts w:ascii="Open Sans" w:hAnsi="Open Sans" w:cs="Open Sans"/>
                <w:sz w:val="20"/>
                <w:szCs w:val="20"/>
              </w:rPr>
            </w:pP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826096">
              <w:rPr>
                <w:rFonts w:ascii="Open Sans" w:hAnsi="Open Sans" w:cs="Open Sans"/>
                <w:b/>
                <w:sz w:val="22"/>
                <w:szCs w:val="20"/>
              </w:rPr>
              <w:t>YES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826096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 as a </w:t>
            </w:r>
            <w:r w:rsidRPr="00826096">
              <w:rPr>
                <w:rFonts w:ascii="Open Sans" w:hAnsi="Open Sans" w:cs="Open Sans"/>
                <w:b/>
                <w:sz w:val="20"/>
                <w:szCs w:val="20"/>
              </w:rPr>
              <w:t>non-covered service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 based on the waiver service definition.</w:t>
            </w:r>
          </w:p>
          <w:p w14:paraId="3338191D" w14:textId="77777777" w:rsidR="00826096" w:rsidRPr="00826096" w:rsidRDefault="00826096" w:rsidP="0082609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A282F07" w14:textId="77777777" w:rsidR="00826096" w:rsidRPr="00826096" w:rsidRDefault="00826096" w:rsidP="00826096">
            <w:pPr>
              <w:rPr>
                <w:rFonts w:ascii="Open Sans" w:hAnsi="Open Sans" w:cs="Open Sans"/>
                <w:sz w:val="20"/>
                <w:szCs w:val="20"/>
              </w:rPr>
            </w:pPr>
            <w:r w:rsidRPr="00826096">
              <w:rPr>
                <w:rFonts w:ascii="Open Sans" w:hAnsi="Open Sans" w:cs="Open Sans"/>
                <w:i/>
                <w:sz w:val="20"/>
                <w:szCs w:val="20"/>
              </w:rPr>
              <w:t>In addition,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826096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 as a </w:t>
            </w:r>
            <w:r w:rsidRPr="00826096">
              <w:rPr>
                <w:rFonts w:ascii="Open Sans" w:hAnsi="Open Sans" w:cs="Open Sans"/>
                <w:b/>
                <w:sz w:val="20"/>
                <w:szCs w:val="20"/>
              </w:rPr>
              <w:t>non-covered service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 any portion of the requested amount of Transitional Case Management which </w:t>
            </w:r>
            <w:r w:rsidRPr="00826096">
              <w:rPr>
                <w:rFonts w:ascii="Open Sans" w:hAnsi="Open Sans" w:cs="Open Sans"/>
                <w:i/>
                <w:sz w:val="20"/>
                <w:szCs w:val="20"/>
              </w:rPr>
              <w:t xml:space="preserve">exceeds 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>the waiver service limit of 180 days.</w:t>
            </w:r>
          </w:p>
          <w:p w14:paraId="42A0C994" w14:textId="77777777" w:rsidR="00826096" w:rsidRPr="00826096" w:rsidRDefault="00826096" w:rsidP="0082609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D6208C9" w14:textId="77777777" w:rsidR="00826096" w:rsidRPr="00826096" w:rsidRDefault="00826096" w:rsidP="00826096">
            <w:pPr>
              <w:rPr>
                <w:rFonts w:ascii="Open Sans" w:hAnsi="Open Sans" w:cs="Open Sans"/>
                <w:sz w:val="20"/>
                <w:szCs w:val="20"/>
              </w:rPr>
            </w:pP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826096">
              <w:rPr>
                <w:rFonts w:ascii="Open Sans" w:hAnsi="Open Sans" w:cs="Open Sans"/>
                <w:b/>
                <w:sz w:val="22"/>
                <w:szCs w:val="20"/>
              </w:rPr>
              <w:t>NO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>, proceed to Question #2.</w:t>
            </w:r>
          </w:p>
          <w:p w14:paraId="24F7CE94" w14:textId="77777777" w:rsidR="00404A4A" w:rsidRPr="006C5CB6" w:rsidRDefault="00404A4A" w:rsidP="0082609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064CE" w:rsidRPr="00807B87" w14:paraId="4358AD75" w14:textId="77777777" w:rsidTr="00404A4A">
        <w:trPr>
          <w:trHeight w:val="2510"/>
        </w:trPr>
        <w:tc>
          <w:tcPr>
            <w:tcW w:w="2065" w:type="dxa"/>
          </w:tcPr>
          <w:p w14:paraId="527D9849" w14:textId="77777777" w:rsidR="00826096" w:rsidRPr="006C5CB6" w:rsidRDefault="00826096" w:rsidP="0082609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2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7480E6C" w14:textId="77777777" w:rsidR="007064CE" w:rsidRPr="006C5CB6" w:rsidRDefault="007064CE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</w:tcPr>
          <w:p w14:paraId="625E2045" w14:textId="77777777" w:rsidR="00826096" w:rsidRPr="00826096" w:rsidRDefault="00826096" w:rsidP="00826096">
            <w:pPr>
              <w:rPr>
                <w:rFonts w:ascii="Open Sans" w:hAnsi="Open Sans" w:cs="Open Sans"/>
                <w:sz w:val="20"/>
                <w:szCs w:val="20"/>
              </w:rPr>
            </w:pPr>
            <w:r w:rsidRPr="00826096">
              <w:rPr>
                <w:rFonts w:ascii="Open Sans" w:hAnsi="Open Sans" w:cs="Open Sans"/>
                <w:sz w:val="20"/>
                <w:szCs w:val="20"/>
              </w:rPr>
              <w:t>Is there documentation that the person is a Medicaid eligible person residing in an Intermediate Care Facility for Individuals with Intellectual Disabilities (ICFs/IID) or other institutional setting (excluding a jail or correctional facility) who has been determined to qualify for waiver services upon discharge?</w:t>
            </w:r>
          </w:p>
          <w:p w14:paraId="5008EB81" w14:textId="77777777" w:rsidR="00826096" w:rsidRPr="00826096" w:rsidRDefault="00826096" w:rsidP="0082609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13F980C" w14:textId="77777777" w:rsidR="00826096" w:rsidRPr="00826096" w:rsidRDefault="00826096" w:rsidP="00826096">
            <w:pPr>
              <w:rPr>
                <w:rFonts w:ascii="Open Sans" w:hAnsi="Open Sans" w:cs="Open Sans"/>
                <w:sz w:val="20"/>
                <w:szCs w:val="20"/>
              </w:rPr>
            </w:pP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826096">
              <w:rPr>
                <w:rFonts w:ascii="Open Sans" w:hAnsi="Open Sans" w:cs="Open Sans"/>
                <w:b/>
                <w:sz w:val="22"/>
                <w:szCs w:val="20"/>
              </w:rPr>
              <w:t>YES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>, proceed to Question #3.</w:t>
            </w:r>
          </w:p>
          <w:p w14:paraId="7FB8B236" w14:textId="77777777" w:rsidR="00826096" w:rsidRPr="00826096" w:rsidRDefault="00826096" w:rsidP="00826096">
            <w:pPr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  <w:p w14:paraId="6B99C81D" w14:textId="77777777" w:rsidR="00826096" w:rsidRPr="00826096" w:rsidRDefault="00826096" w:rsidP="00826096">
            <w:pPr>
              <w:rPr>
                <w:rFonts w:ascii="Open Sans" w:hAnsi="Open Sans" w:cs="Open Sans"/>
                <w:sz w:val="20"/>
                <w:szCs w:val="20"/>
              </w:rPr>
            </w:pP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826096">
              <w:rPr>
                <w:rFonts w:ascii="Open Sans" w:hAnsi="Open Sans" w:cs="Open Sans"/>
                <w:b/>
                <w:sz w:val="22"/>
                <w:szCs w:val="20"/>
              </w:rPr>
              <w:t>NO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826096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 as a </w:t>
            </w:r>
            <w:r w:rsidRPr="00826096">
              <w:rPr>
                <w:rFonts w:ascii="Open Sans" w:hAnsi="Open Sans" w:cs="Open Sans"/>
                <w:b/>
                <w:sz w:val="20"/>
                <w:szCs w:val="20"/>
              </w:rPr>
              <w:t>non-covered service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 based on the waiver service definition.</w:t>
            </w:r>
          </w:p>
          <w:p w14:paraId="059EE7B7" w14:textId="77777777" w:rsidR="00826096" w:rsidRPr="00826096" w:rsidRDefault="00826096" w:rsidP="0082609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C2C0F9A" w14:textId="77777777" w:rsidR="00826096" w:rsidRPr="00826096" w:rsidRDefault="00826096" w:rsidP="00826096">
            <w:pPr>
              <w:rPr>
                <w:rFonts w:ascii="Open Sans" w:hAnsi="Open Sans" w:cs="Open Sans"/>
                <w:sz w:val="20"/>
                <w:szCs w:val="20"/>
              </w:rPr>
            </w:pPr>
            <w:r w:rsidRPr="00826096">
              <w:rPr>
                <w:rFonts w:ascii="Open Sans" w:hAnsi="Open Sans" w:cs="Open Sans"/>
                <w:i/>
                <w:sz w:val="20"/>
                <w:szCs w:val="20"/>
              </w:rPr>
              <w:t>In addition,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826096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 as a </w:t>
            </w:r>
            <w:r w:rsidRPr="00826096">
              <w:rPr>
                <w:rFonts w:ascii="Open Sans" w:hAnsi="Open Sans" w:cs="Open Sans"/>
                <w:b/>
                <w:sz w:val="20"/>
                <w:szCs w:val="20"/>
              </w:rPr>
              <w:t>non-covered service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 any portion of the requested amount of Transitional Case Management which </w:t>
            </w:r>
            <w:r w:rsidRPr="00826096">
              <w:rPr>
                <w:rFonts w:ascii="Open Sans" w:hAnsi="Open Sans" w:cs="Open Sans"/>
                <w:i/>
                <w:sz w:val="20"/>
                <w:szCs w:val="20"/>
              </w:rPr>
              <w:t xml:space="preserve">exceeds 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>the waiver service limit of 180 days.</w:t>
            </w:r>
          </w:p>
          <w:p w14:paraId="015F62A9" w14:textId="77777777" w:rsidR="007064CE" w:rsidRPr="007064CE" w:rsidRDefault="007064CE" w:rsidP="0082609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26096" w:rsidRPr="00807B87" w14:paraId="0D5E73E6" w14:textId="77777777" w:rsidTr="00826096">
        <w:trPr>
          <w:trHeight w:val="1673"/>
        </w:trPr>
        <w:tc>
          <w:tcPr>
            <w:tcW w:w="2065" w:type="dxa"/>
          </w:tcPr>
          <w:p w14:paraId="3C0346F5" w14:textId="77777777" w:rsidR="00826096" w:rsidRPr="006C5CB6" w:rsidRDefault="00826096" w:rsidP="0082609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3.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4C6080F" w14:textId="77777777" w:rsidR="00826096" w:rsidRDefault="00826096" w:rsidP="0082609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</w:tcPr>
          <w:p w14:paraId="1C30063C" w14:textId="77777777" w:rsidR="00826096" w:rsidRPr="00826096" w:rsidRDefault="00826096" w:rsidP="00826096">
            <w:pPr>
              <w:rPr>
                <w:rFonts w:ascii="Open Sans" w:hAnsi="Open Sans" w:cs="Open Sans"/>
                <w:sz w:val="20"/>
                <w:szCs w:val="20"/>
              </w:rPr>
            </w:pPr>
            <w:r w:rsidRPr="00826096">
              <w:rPr>
                <w:rFonts w:ascii="Open Sans" w:hAnsi="Open Sans" w:cs="Open Sans"/>
                <w:sz w:val="20"/>
                <w:szCs w:val="20"/>
              </w:rPr>
              <w:t>Is there documentation that the person will be discharged from the ICF/IID or other institutional setting and enrolled in the waiver within 180 days?</w:t>
            </w:r>
          </w:p>
          <w:p w14:paraId="796BFD04" w14:textId="77777777" w:rsidR="00826096" w:rsidRPr="00826096" w:rsidRDefault="00826096" w:rsidP="0082609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ED67EC2" w14:textId="77777777" w:rsidR="00826096" w:rsidRDefault="00826096" w:rsidP="00826096">
            <w:pPr>
              <w:rPr>
                <w:rFonts w:ascii="Open Sans" w:hAnsi="Open Sans" w:cs="Open Sans"/>
                <w:sz w:val="20"/>
                <w:szCs w:val="20"/>
              </w:rPr>
            </w:pP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826096">
              <w:rPr>
                <w:rFonts w:ascii="Open Sans" w:hAnsi="Open Sans" w:cs="Open Sans"/>
                <w:b/>
                <w:sz w:val="22"/>
                <w:szCs w:val="20"/>
              </w:rPr>
              <w:t>YES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826096">
              <w:rPr>
                <w:rFonts w:ascii="Open Sans" w:hAnsi="Open Sans" w:cs="Open Sans"/>
                <w:b/>
                <w:sz w:val="20"/>
                <w:szCs w:val="20"/>
              </w:rPr>
              <w:t>approve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 the Transitional Case Management subject to the waiver service limit of 180 days. </w:t>
            </w:r>
          </w:p>
          <w:p w14:paraId="45C9BF81" w14:textId="77777777" w:rsidR="00826096" w:rsidRDefault="00826096" w:rsidP="0082609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7C48856" w14:textId="77777777" w:rsidR="00826096" w:rsidRPr="00826096" w:rsidRDefault="00826096" w:rsidP="00826096">
            <w:pPr>
              <w:rPr>
                <w:rFonts w:ascii="Open Sans" w:hAnsi="Open Sans" w:cs="Open Sans"/>
                <w:sz w:val="20"/>
                <w:szCs w:val="20"/>
              </w:rPr>
            </w:pPr>
            <w:r w:rsidRPr="00826096">
              <w:rPr>
                <w:rFonts w:ascii="Open Sans" w:hAnsi="Open Sans" w:cs="Open Sans"/>
                <w:i/>
                <w:sz w:val="20"/>
                <w:szCs w:val="20"/>
              </w:rPr>
              <w:t>In addition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00826096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 as a </w:t>
            </w:r>
            <w:r w:rsidRPr="00826096">
              <w:rPr>
                <w:rFonts w:ascii="Open Sans" w:hAnsi="Open Sans" w:cs="Open Sans"/>
                <w:b/>
                <w:sz w:val="20"/>
                <w:szCs w:val="20"/>
              </w:rPr>
              <w:t>non-covered service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 any portion of the requested amount of Transitional Case Management which </w:t>
            </w:r>
            <w:r w:rsidRPr="00826096">
              <w:rPr>
                <w:rFonts w:ascii="Open Sans" w:hAnsi="Open Sans" w:cs="Open Sans"/>
                <w:i/>
                <w:sz w:val="20"/>
                <w:szCs w:val="20"/>
              </w:rPr>
              <w:t xml:space="preserve">exceeds 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>the waiver service limit of 180 days.</w:t>
            </w:r>
          </w:p>
          <w:p w14:paraId="79AF283A" w14:textId="77777777" w:rsidR="00826096" w:rsidRDefault="00826096" w:rsidP="0082609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FA722DE" w14:textId="77777777" w:rsidR="00826096" w:rsidRDefault="00826096" w:rsidP="0082609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9F18AC5" w14:textId="77777777" w:rsidR="00826096" w:rsidRPr="00826096" w:rsidRDefault="00826096" w:rsidP="0082609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2658587" w14:textId="77777777" w:rsidR="00826096" w:rsidRPr="00826096" w:rsidRDefault="00826096" w:rsidP="00826096">
            <w:pPr>
              <w:rPr>
                <w:rFonts w:ascii="Open Sans" w:hAnsi="Open Sans" w:cs="Open Sans"/>
                <w:sz w:val="20"/>
                <w:szCs w:val="20"/>
              </w:rPr>
            </w:pPr>
            <w:r w:rsidRPr="00826096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NOTE</w:t>
            </w:r>
            <w:proofErr w:type="gramStart"/>
            <w:r w:rsidRPr="00826096">
              <w:rPr>
                <w:rFonts w:ascii="Open Sans" w:hAnsi="Open Sans" w:cs="Open Sans"/>
                <w:sz w:val="20"/>
                <w:szCs w:val="20"/>
              </w:rPr>
              <w:t>:  The</w:t>
            </w:r>
            <w:proofErr w:type="gramEnd"/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 date of service for billing purposes will be the date on which the person </w:t>
            </w:r>
            <w:proofErr w:type="gramStart"/>
            <w:r w:rsidRPr="00826096">
              <w:rPr>
                <w:rFonts w:ascii="Open Sans" w:hAnsi="Open Sans" w:cs="Open Sans"/>
                <w:sz w:val="20"/>
                <w:szCs w:val="20"/>
              </w:rPr>
              <w:t>is both</w:t>
            </w:r>
            <w:proofErr w:type="gramEnd"/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 discharged from the institution and is enrolled in the waiver program.  The reimbursement rate will be based on the number of months that Transitional Case Management was provided with a 180-day (6 month) maximum.</w:t>
            </w:r>
          </w:p>
          <w:p w14:paraId="2BC05D57" w14:textId="77777777" w:rsidR="00826096" w:rsidRPr="00826096" w:rsidRDefault="00826096" w:rsidP="0082609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DC9AF85" w14:textId="77777777" w:rsidR="00826096" w:rsidRPr="00826096" w:rsidRDefault="00826096" w:rsidP="00826096">
            <w:pPr>
              <w:rPr>
                <w:rFonts w:ascii="Open Sans" w:hAnsi="Open Sans" w:cs="Open Sans"/>
                <w:sz w:val="20"/>
                <w:szCs w:val="20"/>
              </w:rPr>
            </w:pP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826096">
              <w:rPr>
                <w:rFonts w:ascii="Open Sans" w:hAnsi="Open Sans" w:cs="Open Sans"/>
                <w:b/>
                <w:sz w:val="20"/>
                <w:szCs w:val="20"/>
              </w:rPr>
              <w:t>NO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proofErr w:type="gramStart"/>
            <w:r w:rsidRPr="00826096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proofErr w:type="gramEnd"/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 as a </w:t>
            </w:r>
            <w:r w:rsidRPr="00826096">
              <w:rPr>
                <w:rFonts w:ascii="Open Sans" w:hAnsi="Open Sans" w:cs="Open Sans"/>
                <w:b/>
                <w:sz w:val="20"/>
                <w:szCs w:val="20"/>
              </w:rPr>
              <w:t>non-covered service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0D5F3DC9" w14:textId="77777777" w:rsidR="00826096" w:rsidRPr="00826096" w:rsidRDefault="00826096" w:rsidP="0082609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9D211E7" w14:textId="77777777" w:rsidR="00826096" w:rsidRDefault="00826096" w:rsidP="00826096">
            <w:pPr>
              <w:rPr>
                <w:rFonts w:ascii="Open Sans" w:hAnsi="Open Sans" w:cs="Open Sans"/>
                <w:sz w:val="20"/>
                <w:szCs w:val="20"/>
              </w:rPr>
            </w:pPr>
            <w:r w:rsidRPr="00826096">
              <w:rPr>
                <w:rFonts w:ascii="Open Sans" w:hAnsi="Open Sans" w:cs="Open Sans"/>
                <w:i/>
                <w:sz w:val="20"/>
                <w:szCs w:val="20"/>
              </w:rPr>
              <w:t>In addition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00826096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 as a </w:t>
            </w:r>
            <w:r w:rsidRPr="00826096">
              <w:rPr>
                <w:rFonts w:ascii="Open Sans" w:hAnsi="Open Sans" w:cs="Open Sans"/>
                <w:b/>
                <w:sz w:val="20"/>
                <w:szCs w:val="20"/>
              </w:rPr>
              <w:t>non-covered service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 xml:space="preserve"> any portion of the requested amount of Transitional Case Management which </w:t>
            </w:r>
            <w:r w:rsidRPr="00826096">
              <w:rPr>
                <w:rFonts w:ascii="Open Sans" w:hAnsi="Open Sans" w:cs="Open Sans"/>
                <w:i/>
                <w:sz w:val="20"/>
                <w:szCs w:val="20"/>
              </w:rPr>
              <w:t xml:space="preserve">exceeds </w:t>
            </w:r>
            <w:r w:rsidRPr="00826096">
              <w:rPr>
                <w:rFonts w:ascii="Open Sans" w:hAnsi="Open Sans" w:cs="Open Sans"/>
                <w:sz w:val="20"/>
                <w:szCs w:val="20"/>
              </w:rPr>
              <w:t>the waiver service limit of 180 days.</w:t>
            </w:r>
          </w:p>
          <w:p w14:paraId="2B058224" w14:textId="77777777" w:rsidR="00826096" w:rsidRPr="00826096" w:rsidRDefault="00826096" w:rsidP="0082609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E1434" w:rsidRPr="00807B87" w14:paraId="383532C1" w14:textId="77777777" w:rsidTr="00AB72DC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7B9109B4" w14:textId="1F8A8523" w:rsidR="00BE1434" w:rsidRPr="00AB72DC" w:rsidRDefault="00BE1434" w:rsidP="00BE143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062E45B7" w14:textId="77777777" w:rsidR="00BE1434" w:rsidRPr="00AB72DC" w:rsidRDefault="00BE1434" w:rsidP="00BE143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BE1434" w:rsidRPr="00807B87" w14:paraId="228D1D54" w14:textId="77777777" w:rsidTr="00AB72DC">
        <w:trPr>
          <w:trHeight w:val="728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6BE8F592" w14:textId="5E97F38A" w:rsidR="00BE1434" w:rsidRPr="00AB72DC" w:rsidRDefault="00BE1434" w:rsidP="00BE143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6321CB9C" w14:textId="103AEDF0" w:rsidR="00BE1434" w:rsidRPr="00AB72DC" w:rsidRDefault="00BE1434" w:rsidP="00BE143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14485F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328927D6" wp14:editId="0BA33BD4">
                  <wp:extent cx="1342390" cy="228600"/>
                  <wp:effectExtent l="0" t="0" r="0" b="0"/>
                  <wp:docPr id="5" name="Picture 4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BE1434" w:rsidRPr="00807B87" w14:paraId="01CE0A83" w14:textId="77777777" w:rsidTr="00A86635">
        <w:trPr>
          <w:trHeight w:val="3887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1AAAEA72" w14:textId="2E53777A" w:rsidR="00BE1434" w:rsidRDefault="00BE1434" w:rsidP="00BE143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68A0F46E" w14:textId="468BC499" w:rsidR="00BE1434" w:rsidRDefault="0014485F" w:rsidP="00BE143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531B5BBC" wp14:editId="0D2B05D7">
                  <wp:extent cx="5029200" cy="2133600"/>
                  <wp:effectExtent l="0" t="0" r="0" b="0"/>
                  <wp:docPr id="6" name="Picture 3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1434" w:rsidRPr="00807B87" w14:paraId="29CC38D3" w14:textId="77777777" w:rsidTr="005A1AB7">
        <w:trPr>
          <w:trHeight w:val="71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5876024E" w14:textId="77777777" w:rsidR="00BE1434" w:rsidRPr="00AB72DC" w:rsidRDefault="00BE1434" w:rsidP="00BE143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42434574" w14:textId="50080501" w:rsidR="00BE1434" w:rsidRPr="006C5CB6" w:rsidRDefault="00BE1434" w:rsidP="00BE1434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14485F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4C9F218C" wp14:editId="3DF7370F">
                  <wp:extent cx="2192020" cy="228600"/>
                  <wp:effectExtent l="0" t="0" r="0" b="0"/>
                  <wp:docPr id="7" name="Picture 2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14485F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0FD6E02A" wp14:editId="60B29D00">
                  <wp:extent cx="1101725" cy="228600"/>
                  <wp:effectExtent l="0" t="0" r="3175" b="0"/>
                  <wp:docPr id="8" name="Picture 1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ACCDA6" w14:textId="77777777" w:rsidR="002C01CD" w:rsidRPr="006C5CB6" w:rsidRDefault="002C01CD" w:rsidP="00A767BE">
      <w:pPr>
        <w:jc w:val="both"/>
        <w:rPr>
          <w:rFonts w:ascii="Open Sans" w:hAnsi="Open Sans" w:cs="Open Sans"/>
        </w:rPr>
      </w:pPr>
    </w:p>
    <w:sectPr w:rsidR="002C01CD" w:rsidRPr="006C5CB6" w:rsidSect="0015601C">
      <w:footerReference w:type="default" r:id="rId16"/>
      <w:pgSz w:w="12240" w:h="15840"/>
      <w:pgMar w:top="720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A2DFA" w14:textId="77777777" w:rsidR="00D3734E" w:rsidRDefault="00D3734E" w:rsidP="00121FFD">
      <w:r>
        <w:separator/>
      </w:r>
    </w:p>
  </w:endnote>
  <w:endnote w:type="continuationSeparator" w:id="0">
    <w:p w14:paraId="74DA0CA6" w14:textId="77777777" w:rsidR="00D3734E" w:rsidRDefault="00D3734E" w:rsidP="0012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9EA5" w14:textId="58EE7A2D" w:rsidR="00160376" w:rsidRPr="0089122A" w:rsidRDefault="00A86635" w:rsidP="00275903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</w:t>
    </w:r>
    <w:r w:rsidR="00160376">
      <w:rPr>
        <w:rFonts w:ascii="Arial" w:hAnsi="Arial" w:cs="Arial"/>
        <w:sz w:val="16"/>
        <w:szCs w:val="16"/>
      </w:rPr>
      <w:t xml:space="preserve"> Date: </w:t>
    </w:r>
    <w:r>
      <w:rPr>
        <w:rFonts w:ascii="Arial" w:hAnsi="Arial" w:cs="Arial"/>
        <w:sz w:val="16"/>
        <w:szCs w:val="16"/>
      </w:rPr>
      <w:t xml:space="preserve">January 1, </w:t>
    </w:r>
    <w:proofErr w:type="gramStart"/>
    <w:r>
      <w:rPr>
        <w:rFonts w:ascii="Arial" w:hAnsi="Arial" w:cs="Arial"/>
        <w:sz w:val="16"/>
        <w:szCs w:val="16"/>
      </w:rPr>
      <w:t>2025</w:t>
    </w:r>
    <w:proofErr w:type="gramEnd"/>
    <w:r w:rsidR="00160376">
      <w:rPr>
        <w:rFonts w:ascii="Arial" w:hAnsi="Arial" w:cs="Arial"/>
        <w:sz w:val="16"/>
        <w:szCs w:val="16"/>
      </w:rPr>
      <w:t xml:space="preserve"> </w:t>
    </w:r>
    <w:r w:rsidR="00160376" w:rsidRPr="0089122A">
      <w:rPr>
        <w:rFonts w:ascii="Arial" w:hAnsi="Arial" w:cs="Arial"/>
        <w:sz w:val="16"/>
        <w:szCs w:val="16"/>
      </w:rPr>
      <w:tab/>
    </w:r>
    <w:r w:rsidR="006746CF">
      <w:rPr>
        <w:rFonts w:ascii="Arial" w:hAnsi="Arial" w:cs="Arial"/>
        <w:sz w:val="16"/>
        <w:szCs w:val="16"/>
      </w:rPr>
      <w:t xml:space="preserve">            </w:t>
    </w:r>
    <w:r w:rsidR="004434D0">
      <w:rPr>
        <w:rFonts w:ascii="Arial" w:hAnsi="Arial" w:cs="Arial"/>
        <w:sz w:val="16"/>
        <w:szCs w:val="16"/>
      </w:rPr>
      <w:t xml:space="preserve">     </w:t>
    </w:r>
    <w:r w:rsidR="006746CF">
      <w:rPr>
        <w:rFonts w:ascii="Arial" w:hAnsi="Arial" w:cs="Arial"/>
        <w:sz w:val="16"/>
        <w:szCs w:val="16"/>
      </w:rPr>
      <w:t xml:space="preserve">         </w:t>
    </w:r>
    <w:r w:rsidR="00826096">
      <w:rPr>
        <w:rFonts w:ascii="Arial" w:hAnsi="Arial" w:cs="Arial"/>
        <w:sz w:val="16"/>
        <w:szCs w:val="16"/>
      </w:rPr>
      <w:t>Transitional Case Management</w:t>
    </w:r>
    <w:r w:rsidR="00160376" w:rsidRPr="00F67855">
      <w:rPr>
        <w:rFonts w:ascii="Arial" w:hAnsi="Arial" w:cs="Arial"/>
        <w:sz w:val="16"/>
        <w:szCs w:val="16"/>
      </w:rPr>
      <w:t xml:space="preserve"> </w:t>
    </w:r>
    <w:r w:rsidR="00160376" w:rsidRPr="0089122A">
      <w:rPr>
        <w:rFonts w:ascii="Arial" w:hAnsi="Arial" w:cs="Arial"/>
        <w:sz w:val="16"/>
        <w:szCs w:val="16"/>
      </w:rPr>
      <w:t>Checklist</w:t>
    </w:r>
    <w:r w:rsidR="00160376" w:rsidRPr="0089122A">
      <w:rPr>
        <w:rFonts w:ascii="Arial" w:hAnsi="Arial" w:cs="Arial"/>
        <w:sz w:val="16"/>
        <w:szCs w:val="16"/>
      </w:rPr>
      <w:tab/>
      <w:t xml:space="preserve">Page </w:t>
    </w:r>
    <w:r w:rsidR="00160376" w:rsidRPr="0089122A">
      <w:rPr>
        <w:rFonts w:ascii="Arial" w:hAnsi="Arial" w:cs="Arial"/>
        <w:sz w:val="16"/>
        <w:szCs w:val="16"/>
      </w:rPr>
      <w:fldChar w:fldCharType="begin"/>
    </w:r>
    <w:r w:rsidR="00160376" w:rsidRPr="0089122A">
      <w:rPr>
        <w:rFonts w:ascii="Arial" w:hAnsi="Arial" w:cs="Arial"/>
        <w:sz w:val="16"/>
        <w:szCs w:val="16"/>
      </w:rPr>
      <w:instrText xml:space="preserve"> PAGE </w:instrText>
    </w:r>
    <w:r w:rsidR="00160376" w:rsidRPr="0089122A">
      <w:rPr>
        <w:rFonts w:ascii="Arial" w:hAnsi="Arial" w:cs="Arial"/>
        <w:sz w:val="16"/>
        <w:szCs w:val="16"/>
      </w:rPr>
      <w:fldChar w:fldCharType="separate"/>
    </w:r>
    <w:r w:rsidR="00826096">
      <w:rPr>
        <w:rFonts w:ascii="Arial" w:hAnsi="Arial" w:cs="Arial"/>
        <w:noProof/>
        <w:sz w:val="16"/>
        <w:szCs w:val="16"/>
      </w:rPr>
      <w:t>2</w:t>
    </w:r>
    <w:r w:rsidR="00160376" w:rsidRPr="0089122A">
      <w:rPr>
        <w:rFonts w:ascii="Arial" w:hAnsi="Arial" w:cs="Arial"/>
        <w:sz w:val="16"/>
        <w:szCs w:val="16"/>
      </w:rPr>
      <w:fldChar w:fldCharType="end"/>
    </w:r>
    <w:r w:rsidR="00160376" w:rsidRPr="0089122A">
      <w:rPr>
        <w:rFonts w:ascii="Arial" w:hAnsi="Arial" w:cs="Arial"/>
        <w:sz w:val="16"/>
        <w:szCs w:val="16"/>
      </w:rPr>
      <w:t xml:space="preserve"> of </w:t>
    </w:r>
    <w:r w:rsidR="00160376" w:rsidRPr="0089122A">
      <w:rPr>
        <w:rFonts w:ascii="Arial" w:hAnsi="Arial" w:cs="Arial"/>
        <w:sz w:val="16"/>
        <w:szCs w:val="16"/>
      </w:rPr>
      <w:fldChar w:fldCharType="begin"/>
    </w:r>
    <w:r w:rsidR="00160376" w:rsidRPr="0089122A">
      <w:rPr>
        <w:rFonts w:ascii="Arial" w:hAnsi="Arial" w:cs="Arial"/>
        <w:sz w:val="16"/>
        <w:szCs w:val="16"/>
      </w:rPr>
      <w:instrText xml:space="preserve"> NUMPAGES </w:instrText>
    </w:r>
    <w:r w:rsidR="00160376" w:rsidRPr="0089122A">
      <w:rPr>
        <w:rFonts w:ascii="Arial" w:hAnsi="Arial" w:cs="Arial"/>
        <w:sz w:val="16"/>
        <w:szCs w:val="16"/>
      </w:rPr>
      <w:fldChar w:fldCharType="separate"/>
    </w:r>
    <w:r w:rsidR="00826096">
      <w:rPr>
        <w:rFonts w:ascii="Arial" w:hAnsi="Arial" w:cs="Arial"/>
        <w:noProof/>
        <w:sz w:val="16"/>
        <w:szCs w:val="16"/>
      </w:rPr>
      <w:t>2</w:t>
    </w:r>
    <w:r w:rsidR="00160376" w:rsidRPr="0089122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C541" w14:textId="77777777" w:rsidR="00D3734E" w:rsidRDefault="00D3734E" w:rsidP="00121FFD">
      <w:r>
        <w:separator/>
      </w:r>
    </w:p>
  </w:footnote>
  <w:footnote w:type="continuationSeparator" w:id="0">
    <w:p w14:paraId="4090B6A4" w14:textId="77777777" w:rsidR="00D3734E" w:rsidRDefault="00D3734E" w:rsidP="00121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19D"/>
    <w:multiLevelType w:val="hybridMultilevel"/>
    <w:tmpl w:val="EBF600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F96D87"/>
    <w:multiLevelType w:val="hybridMultilevel"/>
    <w:tmpl w:val="F5E6415A"/>
    <w:lvl w:ilvl="0" w:tplc="4E8492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202CC1"/>
    <w:multiLevelType w:val="hybridMultilevel"/>
    <w:tmpl w:val="707266DC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200E24"/>
    <w:multiLevelType w:val="hybridMultilevel"/>
    <w:tmpl w:val="5CF6BF22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FF6431"/>
    <w:multiLevelType w:val="hybridMultilevel"/>
    <w:tmpl w:val="D196F0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D5D30"/>
    <w:multiLevelType w:val="hybridMultilevel"/>
    <w:tmpl w:val="7DEAE59E"/>
    <w:lvl w:ilvl="0" w:tplc="BE7639A2">
      <w:start w:val="2"/>
      <w:numFmt w:val="decimal"/>
      <w:lvlText w:val="(%1)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1" w:tplc="99DC2486">
      <w:start w:val="3"/>
      <w:numFmt w:val="lowerLetter"/>
      <w:lvlText w:val="%2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6" w15:restartNumberingAfterBreak="0">
    <w:nsid w:val="216D1CEE"/>
    <w:multiLevelType w:val="hybridMultilevel"/>
    <w:tmpl w:val="775465F4"/>
    <w:lvl w:ilvl="0" w:tplc="EF82D36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EE5C19"/>
    <w:multiLevelType w:val="hybridMultilevel"/>
    <w:tmpl w:val="DE0E422E"/>
    <w:lvl w:ilvl="0" w:tplc="C820F6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02F86"/>
    <w:multiLevelType w:val="hybridMultilevel"/>
    <w:tmpl w:val="1A881AF6"/>
    <w:lvl w:ilvl="0" w:tplc="73D0700C">
      <w:start w:val="2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8B4497"/>
    <w:multiLevelType w:val="hybridMultilevel"/>
    <w:tmpl w:val="B586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A7F5D"/>
    <w:multiLevelType w:val="hybridMultilevel"/>
    <w:tmpl w:val="EFD427AE"/>
    <w:lvl w:ilvl="0" w:tplc="87F2BD84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2B14D86"/>
    <w:multiLevelType w:val="hybridMultilevel"/>
    <w:tmpl w:val="52A27584"/>
    <w:lvl w:ilvl="0" w:tplc="0A4664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65C7421"/>
    <w:multiLevelType w:val="hybridMultilevel"/>
    <w:tmpl w:val="4082323A"/>
    <w:lvl w:ilvl="0" w:tplc="C4A68EA2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1572FE"/>
    <w:multiLevelType w:val="hybridMultilevel"/>
    <w:tmpl w:val="73643C58"/>
    <w:lvl w:ilvl="0" w:tplc="4EA2EAA6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E77001E"/>
    <w:multiLevelType w:val="hybridMultilevel"/>
    <w:tmpl w:val="A014CF06"/>
    <w:lvl w:ilvl="0" w:tplc="D09A6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1253AA"/>
    <w:multiLevelType w:val="hybridMultilevel"/>
    <w:tmpl w:val="4B56B9F8"/>
    <w:lvl w:ilvl="0" w:tplc="D0B67E40">
      <w:start w:val="3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7B467C0"/>
    <w:multiLevelType w:val="hybridMultilevel"/>
    <w:tmpl w:val="386A8988"/>
    <w:lvl w:ilvl="0" w:tplc="95C8ADA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665B081A"/>
    <w:multiLevelType w:val="hybridMultilevel"/>
    <w:tmpl w:val="1BA62004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163AC3"/>
    <w:multiLevelType w:val="hybridMultilevel"/>
    <w:tmpl w:val="664E5A5C"/>
    <w:lvl w:ilvl="0" w:tplc="D8CC8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B204D2"/>
    <w:multiLevelType w:val="hybridMultilevel"/>
    <w:tmpl w:val="94F02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519DF"/>
    <w:multiLevelType w:val="hybridMultilevel"/>
    <w:tmpl w:val="A8428C5A"/>
    <w:lvl w:ilvl="0" w:tplc="4F943F9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34505807">
    <w:abstractNumId w:val="8"/>
  </w:num>
  <w:num w:numId="2" w16cid:durableId="1293442959">
    <w:abstractNumId w:val="17"/>
  </w:num>
  <w:num w:numId="3" w16cid:durableId="144276911">
    <w:abstractNumId w:val="13"/>
  </w:num>
  <w:num w:numId="4" w16cid:durableId="893389794">
    <w:abstractNumId w:val="4"/>
  </w:num>
  <w:num w:numId="5" w16cid:durableId="1887831710">
    <w:abstractNumId w:val="2"/>
  </w:num>
  <w:num w:numId="6" w16cid:durableId="183058680">
    <w:abstractNumId w:val="19"/>
  </w:num>
  <w:num w:numId="7" w16cid:durableId="1539273961">
    <w:abstractNumId w:val="18"/>
  </w:num>
  <w:num w:numId="8" w16cid:durableId="1707372364">
    <w:abstractNumId w:val="3"/>
  </w:num>
  <w:num w:numId="9" w16cid:durableId="1711803457">
    <w:abstractNumId w:val="11"/>
  </w:num>
  <w:num w:numId="10" w16cid:durableId="1046880306">
    <w:abstractNumId w:val="16"/>
  </w:num>
  <w:num w:numId="11" w16cid:durableId="1208878367">
    <w:abstractNumId w:val="10"/>
  </w:num>
  <w:num w:numId="12" w16cid:durableId="1311902921">
    <w:abstractNumId w:val="15"/>
  </w:num>
  <w:num w:numId="13" w16cid:durableId="1250502543">
    <w:abstractNumId w:val="7"/>
  </w:num>
  <w:num w:numId="14" w16cid:durableId="839393233">
    <w:abstractNumId w:val="9"/>
  </w:num>
  <w:num w:numId="15" w16cid:durableId="938567633">
    <w:abstractNumId w:val="6"/>
  </w:num>
  <w:num w:numId="16" w16cid:durableId="1813987244">
    <w:abstractNumId w:val="14"/>
  </w:num>
  <w:num w:numId="17" w16cid:durableId="1490362708">
    <w:abstractNumId w:val="5"/>
  </w:num>
  <w:num w:numId="18" w16cid:durableId="2094276225">
    <w:abstractNumId w:val="1"/>
  </w:num>
  <w:num w:numId="19" w16cid:durableId="2063751883">
    <w:abstractNumId w:val="12"/>
  </w:num>
  <w:num w:numId="20" w16cid:durableId="233468345">
    <w:abstractNumId w:val="0"/>
  </w:num>
  <w:num w:numId="21" w16cid:durableId="17403283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4579148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8789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mbYMYlE1PRFuVPkkP6zpQeE1SvRz9HjoUxCvQbxpUY+/QeI5EfZgojweg0ZJJvK/o3epg9WrWs664PHK+n/0Q==" w:salt="7OXaiRQO04T8vsMh8kJX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F8"/>
    <w:rsid w:val="00005989"/>
    <w:rsid w:val="00007984"/>
    <w:rsid w:val="00011011"/>
    <w:rsid w:val="000145EC"/>
    <w:rsid w:val="00017581"/>
    <w:rsid w:val="00021CD1"/>
    <w:rsid w:val="00026686"/>
    <w:rsid w:val="000276E6"/>
    <w:rsid w:val="000431C3"/>
    <w:rsid w:val="00052BC8"/>
    <w:rsid w:val="00066EC6"/>
    <w:rsid w:val="00080559"/>
    <w:rsid w:val="00090676"/>
    <w:rsid w:val="000914B0"/>
    <w:rsid w:val="00095B39"/>
    <w:rsid w:val="000A6376"/>
    <w:rsid w:val="000A6815"/>
    <w:rsid w:val="000C04A1"/>
    <w:rsid w:val="000D1E1C"/>
    <w:rsid w:val="000D32AF"/>
    <w:rsid w:val="000D539F"/>
    <w:rsid w:val="000F0ECC"/>
    <w:rsid w:val="001100A8"/>
    <w:rsid w:val="00121FFD"/>
    <w:rsid w:val="0013484B"/>
    <w:rsid w:val="0014485F"/>
    <w:rsid w:val="001521A1"/>
    <w:rsid w:val="0015601C"/>
    <w:rsid w:val="00160376"/>
    <w:rsid w:val="00182E92"/>
    <w:rsid w:val="001C30C8"/>
    <w:rsid w:val="001D0C29"/>
    <w:rsid w:val="001D458E"/>
    <w:rsid w:val="002074E6"/>
    <w:rsid w:val="00210530"/>
    <w:rsid w:val="00221F9A"/>
    <w:rsid w:val="0022750E"/>
    <w:rsid w:val="00231968"/>
    <w:rsid w:val="00237FE8"/>
    <w:rsid w:val="00243A7F"/>
    <w:rsid w:val="00251F1A"/>
    <w:rsid w:val="00264A57"/>
    <w:rsid w:val="00275903"/>
    <w:rsid w:val="0029559D"/>
    <w:rsid w:val="002B08DD"/>
    <w:rsid w:val="002B4AE2"/>
    <w:rsid w:val="002C01CD"/>
    <w:rsid w:val="002C275D"/>
    <w:rsid w:val="002D3139"/>
    <w:rsid w:val="002E2632"/>
    <w:rsid w:val="002F3BE9"/>
    <w:rsid w:val="00304701"/>
    <w:rsid w:val="003119AD"/>
    <w:rsid w:val="003236C1"/>
    <w:rsid w:val="00334D4C"/>
    <w:rsid w:val="00350B1A"/>
    <w:rsid w:val="00360FF6"/>
    <w:rsid w:val="003618EB"/>
    <w:rsid w:val="0038271D"/>
    <w:rsid w:val="003A7441"/>
    <w:rsid w:val="003B7D83"/>
    <w:rsid w:val="003C351B"/>
    <w:rsid w:val="003E00C2"/>
    <w:rsid w:val="003E2C4C"/>
    <w:rsid w:val="003F0EF8"/>
    <w:rsid w:val="003F41E3"/>
    <w:rsid w:val="00400948"/>
    <w:rsid w:val="00404A4A"/>
    <w:rsid w:val="00411AAE"/>
    <w:rsid w:val="004404F8"/>
    <w:rsid w:val="004434D0"/>
    <w:rsid w:val="004450C3"/>
    <w:rsid w:val="00463AE1"/>
    <w:rsid w:val="00472265"/>
    <w:rsid w:val="004A6FD6"/>
    <w:rsid w:val="004B441F"/>
    <w:rsid w:val="004B78BF"/>
    <w:rsid w:val="004C2D4D"/>
    <w:rsid w:val="004C5CF1"/>
    <w:rsid w:val="004D3CF1"/>
    <w:rsid w:val="004F01FB"/>
    <w:rsid w:val="00505304"/>
    <w:rsid w:val="0052257B"/>
    <w:rsid w:val="005311B1"/>
    <w:rsid w:val="00536C98"/>
    <w:rsid w:val="00544199"/>
    <w:rsid w:val="00553320"/>
    <w:rsid w:val="005632D8"/>
    <w:rsid w:val="005A1AB7"/>
    <w:rsid w:val="005A53B8"/>
    <w:rsid w:val="005C25D2"/>
    <w:rsid w:val="005F5AF7"/>
    <w:rsid w:val="00607DB2"/>
    <w:rsid w:val="006141F2"/>
    <w:rsid w:val="00640F29"/>
    <w:rsid w:val="00656DD4"/>
    <w:rsid w:val="0066652C"/>
    <w:rsid w:val="00666F0D"/>
    <w:rsid w:val="00670F11"/>
    <w:rsid w:val="006746CF"/>
    <w:rsid w:val="00687E44"/>
    <w:rsid w:val="006B2EF3"/>
    <w:rsid w:val="006B7083"/>
    <w:rsid w:val="006C5CB6"/>
    <w:rsid w:val="006D195C"/>
    <w:rsid w:val="006E420A"/>
    <w:rsid w:val="006E586E"/>
    <w:rsid w:val="006E6CF5"/>
    <w:rsid w:val="006F20B9"/>
    <w:rsid w:val="006F2FEA"/>
    <w:rsid w:val="006F4DFB"/>
    <w:rsid w:val="006F5884"/>
    <w:rsid w:val="0070067A"/>
    <w:rsid w:val="007064CE"/>
    <w:rsid w:val="00712379"/>
    <w:rsid w:val="00717B68"/>
    <w:rsid w:val="007301EB"/>
    <w:rsid w:val="00734CDC"/>
    <w:rsid w:val="00762C52"/>
    <w:rsid w:val="007645B3"/>
    <w:rsid w:val="0076615D"/>
    <w:rsid w:val="00775D70"/>
    <w:rsid w:val="007B0942"/>
    <w:rsid w:val="007B3095"/>
    <w:rsid w:val="007B5606"/>
    <w:rsid w:val="007C7070"/>
    <w:rsid w:val="008017F3"/>
    <w:rsid w:val="00805FE4"/>
    <w:rsid w:val="00807B87"/>
    <w:rsid w:val="00826096"/>
    <w:rsid w:val="0083018B"/>
    <w:rsid w:val="008343BD"/>
    <w:rsid w:val="00850F0F"/>
    <w:rsid w:val="008542C7"/>
    <w:rsid w:val="008818CC"/>
    <w:rsid w:val="00887FAF"/>
    <w:rsid w:val="0089122A"/>
    <w:rsid w:val="00897BFB"/>
    <w:rsid w:val="008A7A7A"/>
    <w:rsid w:val="008B1F5D"/>
    <w:rsid w:val="008B4B61"/>
    <w:rsid w:val="00903370"/>
    <w:rsid w:val="00906613"/>
    <w:rsid w:val="00921C66"/>
    <w:rsid w:val="0092385C"/>
    <w:rsid w:val="00936E2A"/>
    <w:rsid w:val="009370F4"/>
    <w:rsid w:val="00942366"/>
    <w:rsid w:val="00945380"/>
    <w:rsid w:val="00961520"/>
    <w:rsid w:val="009852B7"/>
    <w:rsid w:val="009A1F86"/>
    <w:rsid w:val="009A3455"/>
    <w:rsid w:val="009B1833"/>
    <w:rsid w:val="009B6B2C"/>
    <w:rsid w:val="009C3E3F"/>
    <w:rsid w:val="009C7D55"/>
    <w:rsid w:val="009D5660"/>
    <w:rsid w:val="009E1D9F"/>
    <w:rsid w:val="009F0F24"/>
    <w:rsid w:val="009F784C"/>
    <w:rsid w:val="00A04E24"/>
    <w:rsid w:val="00A05ACB"/>
    <w:rsid w:val="00A105A0"/>
    <w:rsid w:val="00A132F7"/>
    <w:rsid w:val="00A319B7"/>
    <w:rsid w:val="00A55EC5"/>
    <w:rsid w:val="00A60198"/>
    <w:rsid w:val="00A65D3C"/>
    <w:rsid w:val="00A767BE"/>
    <w:rsid w:val="00A82431"/>
    <w:rsid w:val="00A8595C"/>
    <w:rsid w:val="00A86635"/>
    <w:rsid w:val="00A97603"/>
    <w:rsid w:val="00AB0018"/>
    <w:rsid w:val="00AB72DC"/>
    <w:rsid w:val="00AC3C38"/>
    <w:rsid w:val="00AC712A"/>
    <w:rsid w:val="00AE5AC8"/>
    <w:rsid w:val="00AF29F1"/>
    <w:rsid w:val="00AF5639"/>
    <w:rsid w:val="00B008D7"/>
    <w:rsid w:val="00B12D42"/>
    <w:rsid w:val="00B22542"/>
    <w:rsid w:val="00B275D3"/>
    <w:rsid w:val="00B47652"/>
    <w:rsid w:val="00B519BC"/>
    <w:rsid w:val="00B615C7"/>
    <w:rsid w:val="00B62B10"/>
    <w:rsid w:val="00B7361D"/>
    <w:rsid w:val="00B765C0"/>
    <w:rsid w:val="00B90F65"/>
    <w:rsid w:val="00B95FFE"/>
    <w:rsid w:val="00BD1314"/>
    <w:rsid w:val="00BD2156"/>
    <w:rsid w:val="00BE1434"/>
    <w:rsid w:val="00BF009A"/>
    <w:rsid w:val="00BF3417"/>
    <w:rsid w:val="00C06395"/>
    <w:rsid w:val="00C316C5"/>
    <w:rsid w:val="00C433CA"/>
    <w:rsid w:val="00C50A76"/>
    <w:rsid w:val="00C52549"/>
    <w:rsid w:val="00C62711"/>
    <w:rsid w:val="00C6395D"/>
    <w:rsid w:val="00C759F0"/>
    <w:rsid w:val="00C776F6"/>
    <w:rsid w:val="00C85B28"/>
    <w:rsid w:val="00C874F8"/>
    <w:rsid w:val="00CB7815"/>
    <w:rsid w:val="00CC57ED"/>
    <w:rsid w:val="00CC5C35"/>
    <w:rsid w:val="00CF2381"/>
    <w:rsid w:val="00D0336B"/>
    <w:rsid w:val="00D32069"/>
    <w:rsid w:val="00D36B59"/>
    <w:rsid w:val="00D3734E"/>
    <w:rsid w:val="00D4320B"/>
    <w:rsid w:val="00D45A03"/>
    <w:rsid w:val="00D47815"/>
    <w:rsid w:val="00D5475F"/>
    <w:rsid w:val="00D62C19"/>
    <w:rsid w:val="00D97C24"/>
    <w:rsid w:val="00DB5632"/>
    <w:rsid w:val="00DF4D02"/>
    <w:rsid w:val="00DF5FD0"/>
    <w:rsid w:val="00E04149"/>
    <w:rsid w:val="00E1490B"/>
    <w:rsid w:val="00E14A7B"/>
    <w:rsid w:val="00E16E81"/>
    <w:rsid w:val="00E32AF7"/>
    <w:rsid w:val="00E41D6A"/>
    <w:rsid w:val="00E86615"/>
    <w:rsid w:val="00E917EB"/>
    <w:rsid w:val="00EB76E8"/>
    <w:rsid w:val="00ED0A04"/>
    <w:rsid w:val="00ED7073"/>
    <w:rsid w:val="00EE0173"/>
    <w:rsid w:val="00EE5AD1"/>
    <w:rsid w:val="00F14A97"/>
    <w:rsid w:val="00F24393"/>
    <w:rsid w:val="00F40AE1"/>
    <w:rsid w:val="00F5699D"/>
    <w:rsid w:val="00F62E00"/>
    <w:rsid w:val="00F67855"/>
    <w:rsid w:val="00F721FF"/>
    <w:rsid w:val="00F9386D"/>
    <w:rsid w:val="00FB6473"/>
    <w:rsid w:val="00FB64FC"/>
    <w:rsid w:val="00FC41B6"/>
    <w:rsid w:val="00FD6838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05FF26"/>
  <w15:docId w15:val="{692DFBA9-42E0-44D9-93BC-9F029141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9F0"/>
    <w:rPr>
      <w:sz w:val="24"/>
      <w:szCs w:val="24"/>
    </w:rPr>
  </w:style>
  <w:style w:type="paragraph" w:styleId="Heading1">
    <w:name w:val="heading 1"/>
    <w:basedOn w:val="Normal"/>
    <w:next w:val="Normal"/>
    <w:qFormat/>
    <w:rsid w:val="0089122A"/>
    <w:pPr>
      <w:keepNext/>
      <w:outlineLvl w:val="0"/>
    </w:pPr>
    <w:rPr>
      <w:rFonts w:ascii="Arial" w:eastAsia="MS Mincho" w:hAnsi="Arial" w:cs="Arial"/>
      <w:b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7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21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1FFD"/>
    <w:rPr>
      <w:sz w:val="24"/>
      <w:szCs w:val="24"/>
    </w:rPr>
  </w:style>
  <w:style w:type="paragraph" w:styleId="Footer">
    <w:name w:val="footer"/>
    <w:basedOn w:val="Normal"/>
    <w:link w:val="FooterChar"/>
    <w:rsid w:val="00121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1FFD"/>
    <w:rPr>
      <w:sz w:val="24"/>
      <w:szCs w:val="24"/>
    </w:rPr>
  </w:style>
  <w:style w:type="paragraph" w:styleId="BalloonText">
    <w:name w:val="Balloon Text"/>
    <w:basedOn w:val="Normal"/>
    <w:link w:val="BalloonTextChar"/>
    <w:rsid w:val="00A55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E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30C8"/>
    <w:pPr>
      <w:ind w:left="720"/>
    </w:pPr>
  </w:style>
  <w:style w:type="character" w:styleId="PageNumber">
    <w:name w:val="page number"/>
    <w:basedOn w:val="DefaultParagraphFont"/>
    <w:rsid w:val="00275903"/>
  </w:style>
  <w:style w:type="paragraph" w:styleId="BodyTextIndent">
    <w:name w:val="Body Text Indent"/>
    <w:basedOn w:val="Normal"/>
    <w:rsid w:val="0089122A"/>
    <w:pPr>
      <w:ind w:left="1512" w:hanging="72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rsid w:val="0089122A"/>
    <w:pPr>
      <w:ind w:left="792"/>
    </w:pPr>
    <w:rPr>
      <w:rFonts w:ascii="Arial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8271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8271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6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D22814-93A5-4C58-8840-1DF46B2A3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5EFB34-CA39-48F4-B1FD-AC7478ACB6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07B672-7409-4A2D-8A4D-7B15FED67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2136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Recipient: ____________________</vt:lpstr>
    </vt:vector>
  </TitlesOfParts>
  <Company>DMRS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Recipient: ____________________</dc:title>
  <dc:creator>Administrator</dc:creator>
  <cp:lastModifiedBy>Trevor Scruggs</cp:lastModifiedBy>
  <cp:revision>2</cp:revision>
  <cp:lastPrinted>2008-07-30T21:23:00Z</cp:lastPrinted>
  <dcterms:created xsi:type="dcterms:W3CDTF">2025-11-03T03:29:00Z</dcterms:created>
  <dcterms:modified xsi:type="dcterms:W3CDTF">2025-11-03T03:29:00Z</dcterms:modified>
</cp:coreProperties>
</file>