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CAA3" w14:textId="77777777"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6EFA9738" w14:textId="77777777"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 xml:space="preserve">for STATE FORMULA GRANT PROGRAMS under the </w:t>
      </w:r>
      <w:r w:rsidR="009E3DEA">
        <w:rPr>
          <w:rFonts w:cs="Arial"/>
          <w:b/>
          <w:bCs/>
          <w:color w:val="000000" w:themeColor="text1"/>
          <w:sz w:val="24"/>
          <w:szCs w:val="24"/>
        </w:rPr>
        <w:br/>
      </w:r>
      <w:r w:rsidRPr="001071FD">
        <w:rPr>
          <w:rFonts w:cs="Arial"/>
          <w:b/>
          <w:bCs/>
          <w:color w:val="000000" w:themeColor="text1"/>
          <w:sz w:val="24"/>
          <w:szCs w:val="24"/>
        </w:rPr>
        <w:t>Individuals with Disabilities Education Act</w:t>
      </w:r>
    </w:p>
    <w:p w14:paraId="1E882E8A" w14:textId="77777777"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 xml:space="preserve">FFY </w:t>
      </w:r>
      <w:r w:rsidR="00A54A87">
        <w:rPr>
          <w:rFonts w:cs="Arial"/>
          <w:b/>
          <w:bCs/>
          <w:color w:val="000000" w:themeColor="text1"/>
          <w:sz w:val="28"/>
          <w:szCs w:val="28"/>
        </w:rPr>
        <w:t>2024</w:t>
      </w:r>
    </w:p>
    <w:p w14:paraId="696E2CE3"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Tennessee</w:t>
      </w:r>
    </w:p>
    <w:p w14:paraId="42BCE89E"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6434BB4E"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 xml:space="preserve">February </w:t>
      </w:r>
      <w:r w:rsidR="00A54A87">
        <w:rPr>
          <w:rFonts w:cs="Arial"/>
          <w:b/>
          <w:bCs/>
          <w:color w:val="000000" w:themeColor="text1"/>
          <w:sz w:val="24"/>
          <w:szCs w:val="24"/>
        </w:rPr>
        <w:t>2</w:t>
      </w:r>
      <w:r w:rsidR="00B43A02">
        <w:rPr>
          <w:rFonts w:cs="Arial"/>
          <w:b/>
          <w:bCs/>
          <w:color w:val="000000" w:themeColor="text1"/>
          <w:sz w:val="24"/>
          <w:szCs w:val="24"/>
        </w:rPr>
        <w:t xml:space="preserve">, </w:t>
      </w:r>
      <w:r w:rsidR="000F0136">
        <w:rPr>
          <w:rFonts w:cs="Arial"/>
          <w:b/>
          <w:bCs/>
          <w:color w:val="000000" w:themeColor="text1"/>
          <w:sz w:val="24"/>
          <w:szCs w:val="24"/>
        </w:rPr>
        <w:t>2026</w:t>
      </w:r>
    </w:p>
    <w:p w14:paraId="56028B3B"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3AA445DA" w14:textId="77777777"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4B1899DB" w14:textId="77777777"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09D34259"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08A5175E" w14:textId="77777777"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 xml:space="preserve">Provide sufficient </w:t>
      </w:r>
      <w:proofErr w:type="gramStart"/>
      <w:r w:rsidRPr="00ED172B">
        <w:rPr>
          <w:color w:val="000000" w:themeColor="text1"/>
          <w:szCs w:val="16"/>
          <w:shd w:val="clear" w:color="auto" w:fill="FFFFFF"/>
        </w:rPr>
        <w:t>detail</w:t>
      </w:r>
      <w:proofErr w:type="gramEnd"/>
      <w:r w:rsidRPr="00ED172B">
        <w:rPr>
          <w:color w:val="000000" w:themeColor="text1"/>
          <w:szCs w:val="16"/>
          <w:shd w:val="clear" w:color="auto" w:fill="FFFFFF"/>
        </w:rPr>
        <w:t xml:space="preserve"> to ensure that the Secretary and the public are informed of and understand the State’s systems designed to drive improved results for infants and toddlers with disabilities and their families and to ensure that the Lead Agency (LA) </w:t>
      </w:r>
      <w:r w:rsidR="000F5FCD">
        <w:rPr>
          <w:szCs w:val="16"/>
          <w:shd w:val="clear" w:color="auto" w:fill="FFFFFF"/>
        </w:rPr>
        <w:t xml:space="preserve">and early intervention service (EIS) providers and EIS programs </w:t>
      </w:r>
      <w:r w:rsidRPr="00ED172B">
        <w:rPr>
          <w:color w:val="000000" w:themeColor="text1"/>
          <w:szCs w:val="16"/>
          <w:shd w:val="clear" w:color="auto" w:fill="FFFFFF"/>
        </w:rPr>
        <w:t>meets the requirements of Part C of the IDEA. This introduction must include descriptions of the State’s General Supervision System, Technical Assistance System, Professional Development System, Stakeholder Involvement, and Reporting to the Public.</w:t>
      </w:r>
    </w:p>
    <w:p w14:paraId="407E2C1E" w14:textId="77777777" w:rsidR="00042EBF" w:rsidRPr="00A40EE1" w:rsidRDefault="00571E72" w:rsidP="00C15786">
      <w:pPr>
        <w:pStyle w:val="Heading2"/>
      </w:pPr>
      <w:r w:rsidRPr="00A40EE1">
        <w:t xml:space="preserve">Intro - </w:t>
      </w:r>
      <w:r w:rsidR="00042EBF" w:rsidRPr="00A40EE1">
        <w:t>Indicator Data</w:t>
      </w:r>
    </w:p>
    <w:p w14:paraId="436F52DD" w14:textId="77777777" w:rsidR="00181DEB" w:rsidRPr="00ED172B" w:rsidRDefault="00181DEB">
      <w:pPr>
        <w:rPr>
          <w:b/>
          <w:color w:val="000000" w:themeColor="text1"/>
        </w:rPr>
      </w:pPr>
      <w:r w:rsidRPr="00ED172B">
        <w:rPr>
          <w:b/>
          <w:color w:val="000000" w:themeColor="text1"/>
        </w:rPr>
        <w:t>Executive Summary</w:t>
      </w:r>
    </w:p>
    <w:p w14:paraId="20CACB91" w14:textId="77777777" w:rsidR="003A4D77" w:rsidRPr="00ED172B" w:rsidRDefault="00860830" w:rsidP="003A4D77">
      <w:pPr>
        <w:rPr>
          <w:color w:val="000000" w:themeColor="text1"/>
        </w:rPr>
      </w:pPr>
      <w:r w:rsidRPr="00ED172B">
        <w:rPr>
          <w:color w:val="000000" w:themeColor="text1"/>
        </w:rPr>
        <w:t xml:space="preserve">In 2024-25, the lead agency for IDEA Part C in Tennessee was renamed to the Department of Disability and Aging (DDA).  </w:t>
      </w:r>
    </w:p>
    <w:p w14:paraId="1EF04701" w14:textId="77777777" w:rsidR="004C7EE6" w:rsidRDefault="004C7EE6" w:rsidP="004C7EE6">
      <w:pPr>
        <w:pStyle w:val="Subhed"/>
      </w:pPr>
      <w:r>
        <w:t>A</w:t>
      </w:r>
      <w:r w:rsidRPr="001B6EB0">
        <w:t>dditional information related to data collection and reporting</w:t>
      </w:r>
    </w:p>
    <w:p w14:paraId="02E0B63A" w14:textId="77777777" w:rsidR="008C6D27" w:rsidRPr="00ED172B" w:rsidRDefault="008C6D27" w:rsidP="008C6D27">
      <w:pPr>
        <w:rPr>
          <w:color w:val="000000" w:themeColor="text1"/>
        </w:rPr>
      </w:pPr>
    </w:p>
    <w:p w14:paraId="01BB7FC7" w14:textId="77777777" w:rsidR="00181DEB" w:rsidRPr="00ED172B" w:rsidRDefault="00181DEB">
      <w:pPr>
        <w:rPr>
          <w:b/>
          <w:color w:val="000000" w:themeColor="text1"/>
        </w:rPr>
      </w:pPr>
      <w:r w:rsidRPr="00ED172B">
        <w:rPr>
          <w:b/>
          <w:color w:val="000000" w:themeColor="text1"/>
        </w:rPr>
        <w:t>General Supervision System</w:t>
      </w:r>
    </w:p>
    <w:p w14:paraId="1121AB52" w14:textId="77777777"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 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53B631D7" w14:textId="77777777" w:rsidR="00A775F4" w:rsidRPr="00A32E08" w:rsidRDefault="00A775F4" w:rsidP="00A32E08">
      <w:pPr>
        <w:rPr>
          <w:b/>
          <w:bCs/>
        </w:rPr>
      </w:pPr>
      <w:r w:rsidRPr="00A32E08">
        <w:rPr>
          <w:b/>
          <w:bCs/>
        </w:rPr>
        <w:t>Describe the process the State uses to select EIS providers and/or EIS programs for monitoring, the schedule, and number of EIS providers/programs monitored per year.</w:t>
      </w:r>
    </w:p>
    <w:p w14:paraId="0FA2DB25" w14:textId="77777777" w:rsidR="00A775F4" w:rsidRPr="00E74450" w:rsidRDefault="00A775F4" w:rsidP="005E1362">
      <w:pPr>
        <w:rPr>
          <w:bCs/>
        </w:rPr>
      </w:pPr>
      <w:r w:rsidRPr="00E74450">
        <w:rPr>
          <w:bCs/>
        </w:rPr>
        <w:t>TEIS conducts annual monitoring of all nine Early Intervention Service (EIS) programs. These programs include TEIS Points of Entry (POEs) and contracted EIS providers, such as Early Intervention Resource Agencies and therapy vendors (speech, physical, and occupational) within each POE district.</w:t>
      </w:r>
    </w:p>
    <w:p w14:paraId="75BDDA21" w14:textId="77777777" w:rsidR="007876EE" w:rsidRDefault="007876EE"/>
    <w:p w14:paraId="0F660CF7" w14:textId="77777777" w:rsidR="007876EE" w:rsidRDefault="00000000">
      <w:r>
        <w:t>In FFY 2021–22, TEIS introduced an integrated monitoring approach designed to:</w:t>
      </w:r>
    </w:p>
    <w:p w14:paraId="590C25A3" w14:textId="77777777" w:rsidR="007876EE" w:rsidRDefault="00000000">
      <w:r>
        <w:t>-Increase local access to monitoring data.</w:t>
      </w:r>
    </w:p>
    <w:p w14:paraId="420CCA1D" w14:textId="77777777" w:rsidR="007876EE" w:rsidRDefault="00000000">
      <w:r>
        <w:t>-Provide tools for local leadership and staff to make timely program adjustments.</w:t>
      </w:r>
    </w:p>
    <w:p w14:paraId="7FB28396" w14:textId="77777777" w:rsidR="007876EE" w:rsidRDefault="00000000">
      <w:r>
        <w:t>-Empower POEs to drive meaningful change within their districts.</w:t>
      </w:r>
    </w:p>
    <w:p w14:paraId="7E6F1583" w14:textId="77777777" w:rsidR="007876EE" w:rsidRDefault="00000000">
      <w:r>
        <w:t>-Utilize real-time data for decision-making.</w:t>
      </w:r>
    </w:p>
    <w:p w14:paraId="069944E5" w14:textId="77777777" w:rsidR="007876EE" w:rsidRDefault="00000000">
      <w:r>
        <w:t>-Streamline communication and reporting processes to reduce administrative burden.</w:t>
      </w:r>
    </w:p>
    <w:p w14:paraId="40F4B3DF" w14:textId="77777777" w:rsidR="007876EE" w:rsidRDefault="00000000">
      <w:r>
        <w:t>-Support improved outcomes for children and families.</w:t>
      </w:r>
    </w:p>
    <w:p w14:paraId="06A55213" w14:textId="77777777" w:rsidR="007876EE" w:rsidRDefault="007876EE"/>
    <w:p w14:paraId="0F4A5123" w14:textId="77777777" w:rsidR="007876EE" w:rsidRDefault="00000000">
      <w:r>
        <w:t>Results Monitoring</w:t>
      </w:r>
    </w:p>
    <w:p w14:paraId="311761F7" w14:textId="77777777" w:rsidR="007876EE" w:rsidRDefault="00000000">
      <w:r>
        <w:t>In 2024–25, TEIS implemented results monitoring for the third consecutive year. Priority areas—selected with stakeholder input—were child find and family outcomes. Each POE received a designation in one of three tiers based on results criteria:</w:t>
      </w:r>
    </w:p>
    <w:p w14:paraId="691607AF" w14:textId="77777777" w:rsidR="007876EE" w:rsidRDefault="007876EE"/>
    <w:p w14:paraId="0D31C54E" w14:textId="77777777" w:rsidR="007876EE" w:rsidRDefault="00000000">
      <w:r>
        <w:t>Tier 1: Flexibility to create improvement plans focused on locally chosen, data-informed areas.</w:t>
      </w:r>
    </w:p>
    <w:p w14:paraId="496AF70F" w14:textId="77777777" w:rsidR="007876EE" w:rsidRDefault="00000000">
      <w:r>
        <w:t>Tier 2: Requires a central office–approved improvement plan addressing flagged areas; technical assistance available upon request.</w:t>
      </w:r>
    </w:p>
    <w:p w14:paraId="2794DD5B" w14:textId="77777777" w:rsidR="007876EE" w:rsidRDefault="00000000">
      <w:r>
        <w:t>Tier 3: Requires participation in technical assistance to develop an improvement plan for flagged areas.</w:t>
      </w:r>
    </w:p>
    <w:p w14:paraId="14FCBCE9" w14:textId="77777777" w:rsidR="007876EE" w:rsidRDefault="007876EE"/>
    <w:p w14:paraId="3EE7E9BF" w14:textId="77777777" w:rsidR="007876EE" w:rsidRDefault="00000000">
      <w:r>
        <w:t xml:space="preserve">All TEIS districts receive real-time data updates throughout the year to support improvement planning efforts. </w:t>
      </w:r>
    </w:p>
    <w:p w14:paraId="61FF1994" w14:textId="77777777" w:rsidR="007876EE" w:rsidRDefault="007876EE"/>
    <w:p w14:paraId="128530C3" w14:textId="77777777" w:rsidR="007876EE" w:rsidRDefault="00000000">
      <w:r>
        <w:t>Compliance Monitoring - Annual Monitoring Process</w:t>
      </w:r>
    </w:p>
    <w:p w14:paraId="1AAC7532" w14:textId="77777777" w:rsidR="007876EE" w:rsidRDefault="00000000">
      <w:r>
        <w:t>The TEIS IDEA Implementation Team reviews at least one calendar month of data in Tableau for Indicators 1, 7, and 8C for each POE. This review includes all services and meetings due within the selected month and forms the basis for federal reporting. Beginning in 2024-25, the practice of pre-finding correction was eliminated, and findings of noncompliance were issued based on this initial data review. The review month is determined annually.</w:t>
      </w:r>
    </w:p>
    <w:p w14:paraId="6518B629" w14:textId="77777777" w:rsidR="007876EE" w:rsidRDefault="007876EE"/>
    <w:p w14:paraId="0011292D" w14:textId="77777777" w:rsidR="007876EE" w:rsidRDefault="00000000">
      <w:r>
        <w:t>For Indicators 8A and 8B, fiscal year data are reviewed for all children identified as “potentially eligible for Part B” under the interagency agreement between TEIS and the SEA.</w:t>
      </w:r>
    </w:p>
    <w:p w14:paraId="2D655481" w14:textId="77777777" w:rsidR="007876EE" w:rsidRDefault="007876EE"/>
    <w:p w14:paraId="23679256" w14:textId="77777777" w:rsidR="007876EE" w:rsidRDefault="00000000">
      <w:r>
        <w:t>Use of Tableau</w:t>
      </w:r>
    </w:p>
    <w:p w14:paraId="5765BA91" w14:textId="77777777" w:rsidR="007876EE" w:rsidRDefault="00000000">
      <w:r>
        <w:t>FFY 2023–24 marked the first year TEIS used Tableau, a business intelligence tool linked to the TEIDS data system, to support compliance monitoring for Indicators 1, 7, and 8C. POE leadership began verifying TEIDS data accuracy through a monthly Internal Controls for Monitoring Process. Access to real-time data allowed POE leadership and Service Coordinators to respond proactively before meetings and service initiation deadlines. When delays occurred, reasons were documented (e.g., exceptional family circum</w:t>
      </w:r>
      <w:r>
        <w:t>stances, system issues).</w:t>
      </w:r>
    </w:p>
    <w:p w14:paraId="74B337E5" w14:textId="77777777" w:rsidR="007876EE" w:rsidRDefault="007876EE"/>
    <w:p w14:paraId="1A7449A0" w14:textId="77777777" w:rsidR="007876EE" w:rsidRDefault="00000000">
      <w:r>
        <w:t>2024–25 Annual Monitoring Details</w:t>
      </w:r>
    </w:p>
    <w:p w14:paraId="7A39354C" w14:textId="77777777" w:rsidR="007876EE" w:rsidRDefault="00000000">
      <w:r>
        <w:t>-Indicators 7 and 8C: All meetings due in October 2023 were monitored.</w:t>
      </w:r>
    </w:p>
    <w:p w14:paraId="7FBE8AF5" w14:textId="77777777" w:rsidR="007876EE" w:rsidRDefault="00000000">
      <w:r>
        <w:t xml:space="preserve">-Indicator 1: All new early intervention services due in January 2024 data were monitored. </w:t>
      </w:r>
    </w:p>
    <w:p w14:paraId="4BE5DE00" w14:textId="77777777" w:rsidR="007876EE" w:rsidRDefault="00000000">
      <w:r>
        <w:t xml:space="preserve">-Indicator 8A: Maintained through TEIDS validation and reviewed for the fiscal year. </w:t>
      </w:r>
    </w:p>
    <w:p w14:paraId="4C828FB9" w14:textId="77777777" w:rsidR="007876EE" w:rsidRDefault="00000000">
      <w:r>
        <w:lastRenderedPageBreak/>
        <w:t xml:space="preserve">-Indicator 8B: Fiscal year data file shared between the state Central Office (Part C) and Part B, 619 preschool SEA and LEAs used for annual monitoring. </w:t>
      </w:r>
    </w:p>
    <w:p w14:paraId="47D0915C" w14:textId="77777777" w:rsidR="007876EE" w:rsidRDefault="007876EE"/>
    <w:p w14:paraId="27655881" w14:textId="77777777" w:rsidR="007876EE" w:rsidRDefault="00000000">
      <w:r>
        <w:t>Monitoring data were pulled for the designated timeframe, reviewed, and confirmed as complete and accurate.</w:t>
      </w:r>
    </w:p>
    <w:p w14:paraId="76011DC8" w14:textId="77777777" w:rsidR="00A775F4" w:rsidRPr="00A32E08" w:rsidRDefault="00A775F4" w:rsidP="00A32E08">
      <w:pPr>
        <w:rPr>
          <w:b/>
          <w:bCs/>
        </w:rPr>
      </w:pPr>
      <w:r w:rsidRPr="00A32E08">
        <w:rPr>
          <w:b/>
          <w:bCs/>
        </w:rPr>
        <w:t>Describe how child records are chosen, including the number of child records that are selected, as part of the State’s process for determining an EIS provider’s and EIS program’s compliance with IDEA requirements and verifying the EIS provider/program’s correction of any identified noncompliance.</w:t>
      </w:r>
    </w:p>
    <w:p w14:paraId="23E08874" w14:textId="77777777" w:rsidR="00A775F4" w:rsidRPr="00E74450" w:rsidRDefault="00A775F4" w:rsidP="005E1362">
      <w:pPr>
        <w:rPr>
          <w:bCs/>
        </w:rPr>
      </w:pPr>
      <w:r w:rsidRPr="00E74450">
        <w:rPr>
          <w:bCs/>
        </w:rPr>
        <w:t>For compliance Indicators 1, 7, and 8C, TEIS selects a target month each year to verify all meetings and services due. Previously, TEIS collaborated with technical assistance providers to evaluate whether a specific month would best represent the population served. After analyzing three years of data across multiple elements, TEIS determined that all months were equally representative for compliance monitoring.</w:t>
      </w:r>
    </w:p>
    <w:p w14:paraId="77DF9B49" w14:textId="77777777" w:rsidR="007876EE" w:rsidRDefault="007876EE"/>
    <w:p w14:paraId="585534DB" w14:textId="77777777" w:rsidR="007876EE" w:rsidRDefault="00000000">
      <w:r>
        <w:t>For FFY 2024–25, TEIS used March 2025 as the target month for compliance monitoring. All meetings or services due in March were included in the annual review, which was completed in May 2025. The data was representative of all EIS programs and EIS providers. The TEIS IDEA Implementation Team reviews and sets the annual monitoring schedule each year.</w:t>
      </w:r>
    </w:p>
    <w:p w14:paraId="57D9A0C8" w14:textId="77777777" w:rsidR="007876EE" w:rsidRDefault="007876EE"/>
    <w:p w14:paraId="52F9EFB9" w14:textId="77777777" w:rsidR="007876EE" w:rsidRDefault="00000000">
      <w:r>
        <w:t>Indicators 8A and 8B</w:t>
      </w:r>
    </w:p>
    <w:p w14:paraId="596E6898" w14:textId="77777777" w:rsidR="007876EE" w:rsidRDefault="00000000">
      <w:r>
        <w:t xml:space="preserve">For Indicators 8A and 8B, the state data team analyzes full fiscal year data at the end of the year, confirming alignment with the state's exiting data. If a TEIS POE is found noncompliant, a formal finding is issued by the Director of IDEA Implementation. Subsequent months’ data are reviewed to confirm child and systemic correction. </w:t>
      </w:r>
    </w:p>
    <w:p w14:paraId="7BAF67A1" w14:textId="77777777" w:rsidR="007876EE" w:rsidRDefault="007876EE"/>
    <w:p w14:paraId="13279895" w14:textId="77777777" w:rsidR="007876EE" w:rsidRDefault="00000000">
      <w:r>
        <w:t>Changes Beginning FFY 2024–25</w:t>
      </w:r>
    </w:p>
    <w:p w14:paraId="711540CD" w14:textId="77777777" w:rsidR="007876EE" w:rsidRDefault="00000000">
      <w:r>
        <w:t xml:space="preserve">Starting in FFY 2024–25, TEIS eliminated the practice of pre-finding correction. Findings were issued immediately after the IDEA Implementation Team reviewed data and identified systemic and/or child-level noncompliance during annual monitoring. Subsequent monthly data are reviewed until correction is verified as follows: </w:t>
      </w:r>
    </w:p>
    <w:p w14:paraId="5763ECE9" w14:textId="77777777" w:rsidR="007876EE" w:rsidRDefault="007876EE"/>
    <w:p w14:paraId="2F848AFA" w14:textId="77777777" w:rsidR="007876EE" w:rsidRDefault="00000000">
      <w:r>
        <w:t xml:space="preserve">Systemic Correction: Verified when a subsequent month’s data shows no untimely meetings or service delays. The IDEA Implementation Team identified each instance of untimely service delivery attributable to the early intervention system. Reasons for delay were reviewed, and the responsible entity (EIS program or provider) was identified for monthly monitoring until correction was verified. </w:t>
      </w:r>
    </w:p>
    <w:p w14:paraId="0AD4549E" w14:textId="77777777" w:rsidR="007876EE" w:rsidRDefault="007876EE"/>
    <w:p w14:paraId="0EBEE2EE" w14:textId="77777777" w:rsidR="007876EE" w:rsidRDefault="00000000">
      <w:r>
        <w:t>Systemic correction was achieved when no untimely services were attributable to the early intervention system in a subsequent month for the EIS program/provider. However, a finding was only considered corrected when all child-level noncompliance was also resolved.</w:t>
      </w:r>
    </w:p>
    <w:p w14:paraId="4C147A69" w14:textId="77777777" w:rsidR="007876EE" w:rsidRDefault="007876EE"/>
    <w:p w14:paraId="48A8DF97" w14:textId="77777777" w:rsidR="007876EE" w:rsidRDefault="00000000">
      <w:r>
        <w:t>Child-Level Correction</w:t>
      </w:r>
    </w:p>
    <w:p w14:paraId="11968EB5" w14:textId="77777777" w:rsidR="007876EE" w:rsidRDefault="00000000">
      <w:r>
        <w:t>To verify child-level correction, the IDEA Implementation Team documented each instance of services that were past due and not yet delivered at the time of monitoring. TEIS refers to these as past due pending. For each case, the specific service and child identification number is logged for investigation and follow-up, as reasons for delay are only entered into the system once the service is delivered.</w:t>
      </w:r>
    </w:p>
    <w:p w14:paraId="57ED69FA" w14:textId="77777777" w:rsidR="007876EE" w:rsidRDefault="007876EE"/>
    <w:p w14:paraId="4A078CD0" w14:textId="77777777" w:rsidR="007876EE" w:rsidRDefault="00000000">
      <w:r>
        <w:t>Child-level compliance was achieved when all outstanding past due services were resolved for the source of noncompliance identified in the finding. Resolution could occur by:</w:t>
      </w:r>
    </w:p>
    <w:p w14:paraId="1EB1DE1B" w14:textId="77777777" w:rsidR="007876EE" w:rsidRDefault="00000000">
      <w:r>
        <w:t>-Delivering the service.</w:t>
      </w:r>
    </w:p>
    <w:p w14:paraId="28A283C8" w14:textId="77777777" w:rsidR="007876EE" w:rsidRDefault="00000000">
      <w:r>
        <w:t>-Removal of a service from the IFSP if no longer desired by the family.</w:t>
      </w:r>
    </w:p>
    <w:p w14:paraId="7DA65E8D" w14:textId="77777777" w:rsidR="007876EE" w:rsidRDefault="00000000">
      <w:r>
        <w:t xml:space="preserve">-Family withdrawal from early intervention services. </w:t>
      </w:r>
    </w:p>
    <w:p w14:paraId="728651B0" w14:textId="77777777" w:rsidR="007876EE" w:rsidRDefault="007876EE"/>
    <w:p w14:paraId="25F8C08E" w14:textId="77777777" w:rsidR="007876EE" w:rsidRDefault="00000000">
      <w:r>
        <w:t>Child-level correction was confirmed when no past due pending services remained for the EIS program/provider in the original data pull and all subsequent months until correction. A finding was only considered corrected when there were also no systemic delays for the same entity.</w:t>
      </w:r>
    </w:p>
    <w:p w14:paraId="52FFC58D" w14:textId="77777777" w:rsidR="00A775F4" w:rsidRPr="00A32E08" w:rsidRDefault="00A775F4" w:rsidP="00A32E08">
      <w:pPr>
        <w:rPr>
          <w:b/>
          <w:bCs/>
        </w:rPr>
      </w:pPr>
      <w:r w:rsidRPr="00A32E08">
        <w:rPr>
          <w:b/>
          <w:bCs/>
        </w:rPr>
        <w:t xml:space="preserve">Describe the data system(s) the State uses to collect monitoring and SPP/APR data, and the period from which records are reviewed.  </w:t>
      </w:r>
    </w:p>
    <w:p w14:paraId="394A9461" w14:textId="77777777" w:rsidR="00A775F4" w:rsidRPr="00E74450" w:rsidRDefault="00A775F4" w:rsidP="005E1362">
      <w:pPr>
        <w:rPr>
          <w:bCs/>
        </w:rPr>
      </w:pPr>
      <w:r w:rsidRPr="00E74450">
        <w:rPr>
          <w:bCs/>
        </w:rPr>
        <w:t>Child records from the Tennessee Early Intervention Data System (TEIDS) are used for annual monitoring and to verify correction of noncompliance for EIS programs and providers. TEIDS is a real-time, web-based system that houses each child’s educational record.</w:t>
      </w:r>
    </w:p>
    <w:p w14:paraId="7D2B2520" w14:textId="77777777" w:rsidR="007876EE" w:rsidRDefault="007876EE"/>
    <w:p w14:paraId="7B3C3F4C" w14:textId="77777777" w:rsidR="007876EE" w:rsidRDefault="00000000">
      <w:r>
        <w:t>For Indicators 1, 7, and 8C, TEIDS data are reviewed through a Tableau dashboard by the IDEA Implementation Team, starting with the designated target month and continuing with subsequent months until both systemic and child-level correction are verified.</w:t>
      </w:r>
    </w:p>
    <w:p w14:paraId="51553E6B" w14:textId="77777777" w:rsidR="007876EE" w:rsidRDefault="007876EE"/>
    <w:p w14:paraId="4E4879CB" w14:textId="77777777" w:rsidR="007876EE" w:rsidRDefault="00000000">
      <w:r>
        <w:t>In FFY 2024–25, the target month was March 2025, meaning all meetings and services due in that month were reviewed for compliance.</w:t>
      </w:r>
    </w:p>
    <w:p w14:paraId="4D75424D" w14:textId="77777777" w:rsidR="007876EE" w:rsidRDefault="00000000">
      <w:r>
        <w:t>For Indicators 8A and 8B, the state data team analyzes full fiscal year data and continues reviewing subsequent months until systemic and child-level correction is confirmed.</w:t>
      </w:r>
    </w:p>
    <w:p w14:paraId="267D70D8" w14:textId="77777777" w:rsidR="00A775F4" w:rsidRPr="00A32E08" w:rsidRDefault="00A775F4" w:rsidP="00A32E08">
      <w:pPr>
        <w:rPr>
          <w:b/>
          <w:bCs/>
        </w:rPr>
      </w:pPr>
      <w:r w:rsidRPr="00A32E08">
        <w:rPr>
          <w:b/>
          <w:bCs/>
        </w:rPr>
        <w:t>Describe how the State issues findings: by EIS provider and/or EIS program; and if findings are issued by the number of instances or by EIS provider and/or EIS program.</w:t>
      </w:r>
    </w:p>
    <w:p w14:paraId="355EE563" w14:textId="77777777" w:rsidR="00A775F4" w:rsidRPr="00E74450" w:rsidRDefault="00A775F4" w:rsidP="005E1362">
      <w:pPr>
        <w:rPr>
          <w:bCs/>
        </w:rPr>
      </w:pPr>
      <w:r w:rsidRPr="00E74450">
        <w:rPr>
          <w:bCs/>
        </w:rPr>
        <w:t>TEIS has nine EIS programs, also referred to as TEIS Points of Entry (POEs). All POE office personnel are state employees. Written findings of noncompliance identified through 2024–25 annual monitoring were issued to the TEIS POE (EIS program), regardless of whether the root cause was attributable to POE staff or contracted EIS service provider personnel within the POE’s district.</w:t>
      </w:r>
    </w:p>
    <w:p w14:paraId="1492D56B" w14:textId="77777777" w:rsidR="007876EE" w:rsidRDefault="007876EE"/>
    <w:p w14:paraId="6012242A" w14:textId="77777777" w:rsidR="007876EE" w:rsidRDefault="00000000">
      <w:r>
        <w:t>TEIS issues one finding per compliance indicator or regulatory requirement, regardless of the number of individual instances identified. Each finding specifies:</w:t>
      </w:r>
    </w:p>
    <w:p w14:paraId="3302453D" w14:textId="77777777" w:rsidR="007876EE" w:rsidRDefault="00000000">
      <w:r>
        <w:t>-The entity or entities responsible (EIS program, EIS provider, or individual Service Coordinator).</w:t>
      </w:r>
    </w:p>
    <w:p w14:paraId="7926F0CD" w14:textId="77777777" w:rsidR="007876EE" w:rsidRDefault="00000000">
      <w:r>
        <w:t xml:space="preserve">-The specific requirements for correction at the systemic and child levels. </w:t>
      </w:r>
    </w:p>
    <w:p w14:paraId="65F0D8CA" w14:textId="77777777" w:rsidR="007876EE" w:rsidRDefault="007876EE"/>
    <w:p w14:paraId="63B9A202" w14:textId="77777777" w:rsidR="007876EE" w:rsidRDefault="00000000">
      <w:r>
        <w:t>The EIS Program Director (TEIS District Administrator) collaborates with the identified entity/entities to ensure correction of noncompliance.</w:t>
      </w:r>
    </w:p>
    <w:p w14:paraId="638924C1" w14:textId="77777777" w:rsidR="007876EE" w:rsidRDefault="007876EE"/>
    <w:p w14:paraId="1F53EDE3" w14:textId="77777777" w:rsidR="007876EE" w:rsidRDefault="00000000">
      <w:r>
        <w:t>Other Sources of Findings</w:t>
      </w:r>
    </w:p>
    <w:p w14:paraId="71D9D4E9" w14:textId="77777777" w:rsidR="007876EE" w:rsidRDefault="00000000">
      <w:r>
        <w:t>Findings of noncompliance may also result from General Supervision activities, including but not limited to:</w:t>
      </w:r>
    </w:p>
    <w:p w14:paraId="4CC9D85E" w14:textId="77777777" w:rsidR="007876EE" w:rsidRDefault="00000000">
      <w:r>
        <w:t>-Results monitoring</w:t>
      </w:r>
    </w:p>
    <w:p w14:paraId="767E7360" w14:textId="77777777" w:rsidR="007876EE" w:rsidRDefault="00000000">
      <w:r>
        <w:t>-Monitoring outside of annual compliance (targeted or focused monitoring, State/Department internal audits)</w:t>
      </w:r>
    </w:p>
    <w:p w14:paraId="6C1D12EC" w14:textId="77777777" w:rsidR="007876EE" w:rsidRDefault="00000000">
      <w:r>
        <w:t>-Dispute resolution activities</w:t>
      </w:r>
    </w:p>
    <w:p w14:paraId="326BDB0D" w14:textId="77777777" w:rsidR="007876EE" w:rsidRDefault="00000000">
      <w:r>
        <w:t>-Investigation of credible allegations of noncompliance related to IDEA requirements received through other channels</w:t>
      </w:r>
    </w:p>
    <w:p w14:paraId="6EBF4A2D" w14:textId="77777777" w:rsidR="007876EE" w:rsidRDefault="007876EE"/>
    <w:p w14:paraId="3B8D92FD" w14:textId="77777777" w:rsidR="007876EE" w:rsidRDefault="00000000">
      <w:r>
        <w:t xml:space="preserve">All findings of noncompliance for IDEA violations by EIS programs/providers within TEIS are issued by the IDEA Implementation Team and specify activities required for correction. The Director of IDEA Implementation issues a letter of correction once systemic and child level correction has been verified. </w:t>
      </w:r>
    </w:p>
    <w:p w14:paraId="414CCA74" w14:textId="77777777" w:rsidR="00A775F4" w:rsidRPr="00A32E08" w:rsidRDefault="00A775F4" w:rsidP="00A32E08">
      <w:pPr>
        <w:rPr>
          <w:b/>
          <w:bCs/>
        </w:rPr>
      </w:pPr>
      <w:r w:rsidRPr="00A32E08">
        <w:rPr>
          <w:b/>
          <w:bCs/>
        </w:rPr>
        <w:t>If applicable, describe the adopted procedures that permit its EIS providers/ programs to correct noncompliance prior to the State’s issuance of a finding (i.e., pre-finding correction).</w:t>
      </w:r>
    </w:p>
    <w:p w14:paraId="39FF961D" w14:textId="77777777" w:rsidR="00A775F4" w:rsidRPr="00E74450" w:rsidRDefault="00A775F4" w:rsidP="005E1362">
      <w:pPr>
        <w:rPr>
          <w:bCs/>
        </w:rPr>
      </w:pPr>
      <w:r w:rsidRPr="00E74450">
        <w:rPr>
          <w:bCs/>
        </w:rPr>
        <w:t xml:space="preserve">Beginning with FFY 2024-25 monitoring, TEIS eliminated the use of pre-finding correction. This policy change went into effect in December 2024 and was shared at the January 2025 SICC meeting. The use of pre-finding correction in 2023-24 is described in each compliance indicator as applicable to </w:t>
      </w:r>
      <w:proofErr w:type="gramStart"/>
      <w:r w:rsidRPr="00E74450">
        <w:rPr>
          <w:bCs/>
        </w:rPr>
        <w:t>correction of</w:t>
      </w:r>
      <w:proofErr w:type="gramEnd"/>
      <w:r w:rsidRPr="00E74450">
        <w:rPr>
          <w:bCs/>
        </w:rPr>
        <w:t xml:space="preserve"> findings of noncompliance. </w:t>
      </w:r>
    </w:p>
    <w:p w14:paraId="1D2EA570" w14:textId="77777777" w:rsidR="00A775F4" w:rsidRPr="00A32E08" w:rsidRDefault="00A775F4" w:rsidP="00A32E08">
      <w:pPr>
        <w:rPr>
          <w:b/>
          <w:bCs/>
        </w:rPr>
      </w:pPr>
      <w:r w:rsidRPr="006675B4">
        <w:t xml:space="preserve">Describe the State’s system of graduated and progressive sanctions to ensure the correction of identified noncompliance and to address areas in need </w:t>
      </w:r>
      <w:r w:rsidRPr="00A32E08">
        <w:rPr>
          <w:b/>
          <w:bCs/>
        </w:rPr>
        <w:t>of improvement, used as necessary and consistent with IDEA Part C’s enforcement provisions, the OMB Uniform Administrative Requirements, Cost Principles, and Audit Requirements for Federal Awards (Uniform Guidance), and State policies.</w:t>
      </w:r>
    </w:p>
    <w:p w14:paraId="218D776E" w14:textId="77777777" w:rsidR="00A775F4" w:rsidRPr="00E74450" w:rsidRDefault="00A775F4" w:rsidP="005E1362">
      <w:pPr>
        <w:rPr>
          <w:bCs/>
        </w:rPr>
      </w:pPr>
      <w:r w:rsidRPr="00E74450">
        <w:rPr>
          <w:bCs/>
        </w:rPr>
        <w:t>TEIS uses a graduated and progressive system of sanctions to ensure correction of noncompliance identified through compliance monitoring. Enforcement provisions are outlined in the document “Tennessee System of Determination Enforcements for Early Intervention Service Programs,” which aligns with IDEA Part C requirements. This document is reviewed annually and updated as needed.</w:t>
      </w:r>
    </w:p>
    <w:p w14:paraId="4B2B8436" w14:textId="77777777" w:rsidR="007876EE" w:rsidRDefault="007876EE"/>
    <w:p w14:paraId="5F7BEFDF" w14:textId="77777777" w:rsidR="007876EE" w:rsidRDefault="00000000">
      <w:r>
        <w:t>The enforcement framework describes actions based on determination levels:</w:t>
      </w:r>
    </w:p>
    <w:p w14:paraId="30AE1933" w14:textId="77777777" w:rsidR="007876EE" w:rsidRDefault="00000000">
      <w:r>
        <w:t>-Meets Requirements</w:t>
      </w:r>
    </w:p>
    <w:p w14:paraId="2209958B" w14:textId="77777777" w:rsidR="007876EE" w:rsidRDefault="00000000">
      <w:r>
        <w:t>-Needs Assistance</w:t>
      </w:r>
    </w:p>
    <w:p w14:paraId="64BAAB11" w14:textId="77777777" w:rsidR="007876EE" w:rsidRDefault="00000000">
      <w:r>
        <w:t>-Needs Intervention</w:t>
      </w:r>
    </w:p>
    <w:p w14:paraId="6841A681" w14:textId="77777777" w:rsidR="007876EE" w:rsidRDefault="00000000">
      <w:r>
        <w:t>-Needs Substantial Intervention</w:t>
      </w:r>
    </w:p>
    <w:p w14:paraId="399DA251" w14:textId="77777777" w:rsidR="007876EE" w:rsidRDefault="007876EE"/>
    <w:p w14:paraId="6F68D623" w14:textId="77777777" w:rsidR="007876EE" w:rsidRDefault="00000000">
      <w:r>
        <w:t>Enforcement actions range from:</w:t>
      </w:r>
    </w:p>
    <w:p w14:paraId="23EBFF51" w14:textId="77777777" w:rsidR="007876EE" w:rsidRDefault="00000000">
      <w:r>
        <w:t>-No required actions</w:t>
      </w:r>
    </w:p>
    <w:p w14:paraId="2FAE90FB" w14:textId="77777777" w:rsidR="007876EE" w:rsidRDefault="00000000">
      <w:r>
        <w:t>-Improvement plans</w:t>
      </w:r>
    </w:p>
    <w:p w14:paraId="56FCBCC2" w14:textId="77777777" w:rsidR="007876EE" w:rsidRDefault="00000000">
      <w:r>
        <w:t>-Corrective action plans</w:t>
      </w:r>
    </w:p>
    <w:p w14:paraId="38E23492" w14:textId="77777777" w:rsidR="007876EE" w:rsidRDefault="00000000">
      <w:r>
        <w:t>-Training and technical assistance</w:t>
      </w:r>
    </w:p>
    <w:p w14:paraId="59079390" w14:textId="77777777" w:rsidR="007876EE" w:rsidRDefault="00000000">
      <w:r>
        <w:t>-Use of human resources performance management processes</w:t>
      </w:r>
    </w:p>
    <w:p w14:paraId="12B4E2F1" w14:textId="77777777" w:rsidR="007876EE" w:rsidRDefault="00000000">
      <w:r>
        <w:t>-Contract management measures</w:t>
      </w:r>
    </w:p>
    <w:p w14:paraId="4072F30B" w14:textId="77777777" w:rsidR="007876EE" w:rsidRDefault="00000000">
      <w:r>
        <w:t>-Restructuring of an EIS program or provider</w:t>
      </w:r>
    </w:p>
    <w:p w14:paraId="14E2CF61" w14:textId="77777777" w:rsidR="00A775F4" w:rsidRPr="00A32E08" w:rsidRDefault="00A775F4" w:rsidP="00A32E08">
      <w:pPr>
        <w:rPr>
          <w:b/>
          <w:bCs/>
        </w:rPr>
      </w:pPr>
      <w:r w:rsidRPr="00A32E08">
        <w:rPr>
          <w:b/>
          <w:bCs/>
        </w:rPr>
        <w:t>Describe how the State makes annual determinations of EIS program performance, including the criteria the State uses and the schedule for notifying EIS programs of their determinations. If the determinations are made public, include a web link for the most recent determinations.</w:t>
      </w:r>
    </w:p>
    <w:p w14:paraId="5C3A82AB" w14:textId="77777777" w:rsidR="00A775F4" w:rsidRPr="00E74450" w:rsidRDefault="00A775F4" w:rsidP="005E1362">
      <w:pPr>
        <w:rPr>
          <w:bCs/>
        </w:rPr>
      </w:pPr>
      <w:r w:rsidRPr="00E74450">
        <w:rPr>
          <w:bCs/>
        </w:rPr>
        <w:t>TEIS issues annual determinations to EIS programs within 120 days after submitting the Annual Performance Report (APR). Consistent with OSEP's QA 23-01, TEIS's FFY 2024–25, determinations were based on:</w:t>
      </w:r>
    </w:p>
    <w:p w14:paraId="4BB3D06F" w14:textId="77777777" w:rsidR="007876EE" w:rsidRDefault="007876EE"/>
    <w:p w14:paraId="4C5004E5" w14:textId="77777777" w:rsidR="007876EE" w:rsidRDefault="00000000">
      <w:r>
        <w:t xml:space="preserve">-Performance on APR indicators, </w:t>
      </w:r>
    </w:p>
    <w:p w14:paraId="34D8A57A" w14:textId="77777777" w:rsidR="007876EE" w:rsidRDefault="00000000">
      <w:r>
        <w:t xml:space="preserve">-Status of correction of identified noncompliance, </w:t>
      </w:r>
    </w:p>
    <w:p w14:paraId="7650FC74" w14:textId="77777777" w:rsidR="007876EE" w:rsidRDefault="00000000">
      <w:r>
        <w:t>-Validity and reliability of submitted data, and</w:t>
      </w:r>
    </w:p>
    <w:p w14:paraId="1BF1E4C1" w14:textId="77777777" w:rsidR="007876EE" w:rsidRDefault="00000000">
      <w:r>
        <w:t xml:space="preserve">-Other data available to the state about the EIS program's compliance with IDEA. </w:t>
      </w:r>
    </w:p>
    <w:p w14:paraId="29E18845" w14:textId="77777777" w:rsidR="007876EE" w:rsidRDefault="007876EE"/>
    <w:p w14:paraId="4C3595D5" w14:textId="77777777" w:rsidR="007876EE" w:rsidRDefault="00000000">
      <w:r>
        <w:t>Determination Categories and Scoring</w:t>
      </w:r>
    </w:p>
    <w:p w14:paraId="3EC1F341" w14:textId="77777777" w:rsidR="007876EE" w:rsidRDefault="00000000">
      <w:r>
        <w:t>TEIS uses the four federal determination categories:</w:t>
      </w:r>
    </w:p>
    <w:p w14:paraId="319DED84" w14:textId="77777777" w:rsidR="007876EE" w:rsidRDefault="00000000">
      <w:r>
        <w:t>-Meets Requirements</w:t>
      </w:r>
    </w:p>
    <w:p w14:paraId="12AD9FD2" w14:textId="77777777" w:rsidR="007876EE" w:rsidRDefault="00000000">
      <w:r>
        <w:t>-Needs Assistance</w:t>
      </w:r>
    </w:p>
    <w:p w14:paraId="29D8FDFA" w14:textId="77777777" w:rsidR="007876EE" w:rsidRDefault="00000000">
      <w:r>
        <w:t>-Needs Intervention</w:t>
      </w:r>
    </w:p>
    <w:p w14:paraId="04942CA0" w14:textId="77777777" w:rsidR="007876EE" w:rsidRDefault="00000000">
      <w:r>
        <w:t>-Needs Substantial Intervention</w:t>
      </w:r>
    </w:p>
    <w:p w14:paraId="4380B092" w14:textId="77777777" w:rsidR="007876EE" w:rsidRDefault="007876EE"/>
    <w:p w14:paraId="3B029E97" w14:textId="77777777" w:rsidR="007876EE" w:rsidRDefault="00000000">
      <w:r>
        <w:t>A rubric is used to assign point values for each determination element against established targets. Using TEIS POE data, the rubric calculates both a determination score and the corresponding category. Enforcement actions for each category are defined in TEIS’s document, “Tennessee System of Determination Enforcements for Early Intervention Service Programs.”</w:t>
      </w:r>
    </w:p>
    <w:p w14:paraId="6E8AE09E" w14:textId="77777777" w:rsidR="007876EE" w:rsidRDefault="007876EE"/>
    <w:p w14:paraId="60D7FE77" w14:textId="77777777" w:rsidR="007876EE" w:rsidRDefault="00000000">
      <w:r>
        <w:t>Notification and Support</w:t>
      </w:r>
    </w:p>
    <w:p w14:paraId="5949F8D1" w14:textId="77777777" w:rsidR="007876EE" w:rsidRDefault="00000000">
      <w:r>
        <w:t>Each spring, EIS programs receive:</w:t>
      </w:r>
    </w:p>
    <w:p w14:paraId="05DB3EC0" w14:textId="77777777" w:rsidR="007876EE" w:rsidRDefault="00000000">
      <w:r>
        <w:lastRenderedPageBreak/>
        <w:t>-Their determination results.</w:t>
      </w:r>
    </w:p>
    <w:p w14:paraId="4702F08A" w14:textId="77777777" w:rsidR="007876EE" w:rsidRDefault="00000000">
      <w:r>
        <w:t>-A copy of the POE and state determination rubric.</w:t>
      </w:r>
    </w:p>
    <w:p w14:paraId="56D2BF17" w14:textId="77777777" w:rsidR="007876EE" w:rsidRDefault="00000000">
      <w:r>
        <w:t>-Overview of Annual Program Determinations</w:t>
      </w:r>
    </w:p>
    <w:p w14:paraId="6DF9B0D7" w14:textId="77777777" w:rsidR="007876EE" w:rsidRDefault="00000000">
      <w:r>
        <w:t>-Tennessee System of Determination Enforcements for Early Intervention Service Programs</w:t>
      </w:r>
    </w:p>
    <w:p w14:paraId="1F021FFE" w14:textId="77777777" w:rsidR="007876EE" w:rsidRDefault="007876EE"/>
    <w:p w14:paraId="2F921EBA" w14:textId="77777777" w:rsidR="007876EE" w:rsidRDefault="00000000">
      <w:r>
        <w:t xml:space="preserve">TEIS leadership provides an overview during a District Administrator meeting, and individual technical assistance is available to POEs upon request. </w:t>
      </w:r>
    </w:p>
    <w:p w14:paraId="13B19C0A" w14:textId="77777777" w:rsidR="007876EE" w:rsidRDefault="007876EE"/>
    <w:p w14:paraId="1FBBF6A3" w14:textId="77777777" w:rsidR="007876EE" w:rsidRDefault="00000000">
      <w:r>
        <w:t>Public Reporting</w:t>
      </w:r>
    </w:p>
    <w:p w14:paraId="08F19E3D" w14:textId="77777777" w:rsidR="007876EE" w:rsidRDefault="00000000">
      <w:r>
        <w:t>TEIS does not publish EIS Program Determinations on its website. However, the state’s annual determination from OSEP is shared with the State Interagency Coordinating Council (SICC) and other stakeholders. EIS Program performance on APR indicators is published on the Department's website through the TEIS Annual Report to the Public.</w:t>
      </w:r>
    </w:p>
    <w:p w14:paraId="38504787" w14:textId="77777777" w:rsidR="00A775F4" w:rsidRPr="00A32E08" w:rsidRDefault="00A775F4" w:rsidP="00A32E08">
      <w:pPr>
        <w:rPr>
          <w:b/>
          <w:bCs/>
        </w:rPr>
      </w:pPr>
      <w:r w:rsidRPr="00A32E08">
        <w:rPr>
          <w:b/>
          <w:bCs/>
        </w:rPr>
        <w:t xml:space="preserve">Provide the web link </w:t>
      </w:r>
      <w:proofErr w:type="gramStart"/>
      <w:r w:rsidRPr="00A32E08">
        <w:rPr>
          <w:b/>
          <w:bCs/>
        </w:rPr>
        <w:t>to</w:t>
      </w:r>
      <w:proofErr w:type="gramEnd"/>
      <w:r w:rsidRPr="00A32E08">
        <w:rPr>
          <w:b/>
          <w:bCs/>
        </w:rPr>
        <w:t xml:space="preserve"> information about the State’s general supervision policies, procedures, and </w:t>
      </w:r>
      <w:proofErr w:type="gramStart"/>
      <w:r w:rsidRPr="00A32E08">
        <w:rPr>
          <w:b/>
          <w:bCs/>
        </w:rPr>
        <w:t>process</w:t>
      </w:r>
      <w:proofErr w:type="gramEnd"/>
      <w:r w:rsidRPr="00A32E08">
        <w:rPr>
          <w:b/>
          <w:bCs/>
        </w:rPr>
        <w:t xml:space="preserve"> that </w:t>
      </w:r>
      <w:proofErr w:type="gramStart"/>
      <w:r w:rsidRPr="00A32E08">
        <w:rPr>
          <w:b/>
          <w:bCs/>
        </w:rPr>
        <w:t>is</w:t>
      </w:r>
      <w:proofErr w:type="gramEnd"/>
      <w:r w:rsidRPr="00A32E08">
        <w:rPr>
          <w:b/>
          <w:bCs/>
        </w:rPr>
        <w:t xml:space="preserve"> made available to the public.</w:t>
      </w:r>
    </w:p>
    <w:p w14:paraId="7AD4D6D0" w14:textId="77777777" w:rsidR="00A775F4" w:rsidRPr="00E74450" w:rsidRDefault="00A775F4" w:rsidP="005E1362">
      <w:pPr>
        <w:rPr>
          <w:bCs/>
        </w:rPr>
      </w:pPr>
      <w:r w:rsidRPr="00E74450">
        <w:rPr>
          <w:bCs/>
        </w:rPr>
        <w:t xml:space="preserve">Information and links to TEIS policies and procedures can be found throughout the TEIS website at this link: https://www.tn.gov/disability-and-aging/disability-aging-programs/teis.html </w:t>
      </w:r>
    </w:p>
    <w:p w14:paraId="5241E26C" w14:textId="77777777" w:rsidR="007876EE" w:rsidRDefault="007876EE"/>
    <w:p w14:paraId="449822A0" w14:textId="77777777" w:rsidR="007876EE" w:rsidRDefault="00000000">
      <w:r>
        <w:t>Reports, including TEIS's Annual Performance Report, State Systemic Improvement Plan, and the TEIS Annual Report to the Public are posted on the Department's Reports &amp; Data page:  https://www.tn.gov/disability-and-aging/about-us/reports.html</w:t>
      </w:r>
    </w:p>
    <w:p w14:paraId="1B75225A" w14:textId="77777777" w:rsidR="00181DEB" w:rsidRPr="00ED172B" w:rsidRDefault="00181DEB">
      <w:pPr>
        <w:rPr>
          <w:b/>
          <w:color w:val="000000" w:themeColor="text1"/>
        </w:rPr>
      </w:pPr>
      <w:r w:rsidRPr="00ED172B">
        <w:rPr>
          <w:b/>
          <w:color w:val="000000" w:themeColor="text1"/>
        </w:rPr>
        <w:t>Technical Assistance System:</w:t>
      </w:r>
    </w:p>
    <w:p w14:paraId="77B3A272" w14:textId="77777777" w:rsidR="00181DEB" w:rsidRPr="00ED172B" w:rsidRDefault="00181DEB" w:rsidP="00042EBF">
      <w:pPr>
        <w:rPr>
          <w:b/>
          <w:color w:val="000000" w:themeColor="text1"/>
          <w:szCs w:val="16"/>
        </w:rPr>
      </w:pPr>
      <w:r w:rsidRPr="00ED172B">
        <w:rPr>
          <w:b/>
          <w:color w:val="000000" w:themeColor="text1"/>
          <w:szCs w:val="16"/>
        </w:rPr>
        <w:t xml:space="preserve">The mechanisms that the State has in place </w:t>
      </w:r>
      <w:proofErr w:type="gramStart"/>
      <w:r w:rsidRPr="00ED172B">
        <w:rPr>
          <w:b/>
          <w:color w:val="000000" w:themeColor="text1"/>
          <w:szCs w:val="16"/>
        </w:rPr>
        <w:t>to</w:t>
      </w:r>
      <w:proofErr w:type="gramEnd"/>
      <w:r w:rsidRPr="00ED172B">
        <w:rPr>
          <w:b/>
          <w:color w:val="000000" w:themeColor="text1"/>
          <w:szCs w:val="16"/>
        </w:rPr>
        <w:t xml:space="preserve"> ensure the timely delivery of high quality, evidence-based technical assistance and support to EIS programs.</w:t>
      </w:r>
    </w:p>
    <w:p w14:paraId="416BE1C1" w14:textId="77777777" w:rsidR="003A4D77" w:rsidRPr="00ED172B" w:rsidRDefault="00860830" w:rsidP="00042EBF">
      <w:pPr>
        <w:rPr>
          <w:color w:val="000000" w:themeColor="text1"/>
          <w:szCs w:val="16"/>
        </w:rPr>
      </w:pPr>
      <w:r w:rsidRPr="00ED172B">
        <w:rPr>
          <w:color w:val="000000" w:themeColor="text1"/>
          <w:szCs w:val="16"/>
        </w:rPr>
        <w:t xml:space="preserve">The TEIS Staff and Provider Engagement Team </w:t>
      </w:r>
      <w:proofErr w:type="gramStart"/>
      <w:r w:rsidRPr="00ED172B">
        <w:rPr>
          <w:color w:val="000000" w:themeColor="text1"/>
          <w:szCs w:val="16"/>
        </w:rPr>
        <w:t>ensures</w:t>
      </w:r>
      <w:proofErr w:type="gramEnd"/>
      <w:r w:rsidRPr="00ED172B">
        <w:rPr>
          <w:color w:val="000000" w:themeColor="text1"/>
          <w:szCs w:val="16"/>
        </w:rPr>
        <w:t xml:space="preserve"> TEIS maintains a Comprehensive Training Plan to meet the needs of staff, providers, and families. The plan for supporting staff in 2024-25 included: </w:t>
      </w:r>
    </w:p>
    <w:p w14:paraId="62C08A25" w14:textId="77777777" w:rsidR="007876EE" w:rsidRDefault="00000000">
      <w:r>
        <w:rPr>
          <w:color w:val="000000"/>
        </w:rPr>
        <w:t>-Written operations manual for staff.</w:t>
      </w:r>
    </w:p>
    <w:p w14:paraId="0F808FE7" w14:textId="77777777" w:rsidR="007876EE" w:rsidRDefault="00000000">
      <w:r>
        <w:rPr>
          <w:color w:val="000000"/>
        </w:rPr>
        <w:t>-Training and technical assistance opportunities.</w:t>
      </w:r>
    </w:p>
    <w:p w14:paraId="521D37F4" w14:textId="77777777" w:rsidR="007876EE" w:rsidRDefault="00000000">
      <w:r>
        <w:rPr>
          <w:color w:val="000000"/>
        </w:rPr>
        <w:t>-Opportunities to engage with TEIS leadership and the early intervention community.</w:t>
      </w:r>
    </w:p>
    <w:p w14:paraId="45F87DD5" w14:textId="77777777" w:rsidR="007876EE" w:rsidRDefault="007876EE"/>
    <w:p w14:paraId="69002753" w14:textId="77777777" w:rsidR="007876EE" w:rsidRDefault="00000000">
      <w:r>
        <w:rPr>
          <w:color w:val="000000"/>
        </w:rPr>
        <w:t>Support Requests and Feedback</w:t>
      </w:r>
    </w:p>
    <w:p w14:paraId="45F177EA" w14:textId="77777777" w:rsidR="007876EE" w:rsidRDefault="00000000">
      <w:r>
        <w:rPr>
          <w:color w:val="000000"/>
        </w:rPr>
        <w:t>-In FFY 2024–25, the Engagement Team implemented an online form for Point of Entry (POE) Leadership to request support for POEs and individual Service Coordinators. After support is provided, follow-up surveys are sent promptly to gather feedback and improve technical assistance.</w:t>
      </w:r>
    </w:p>
    <w:p w14:paraId="5B9220E6" w14:textId="77777777" w:rsidR="007876EE" w:rsidRDefault="007876EE"/>
    <w:p w14:paraId="1005100B" w14:textId="77777777" w:rsidR="007876EE" w:rsidRDefault="00000000">
      <w:r>
        <w:rPr>
          <w:color w:val="000000"/>
        </w:rPr>
        <w:t>POE-Specific Trainings</w:t>
      </w:r>
    </w:p>
    <w:p w14:paraId="2D452C78" w14:textId="77777777" w:rsidR="007876EE" w:rsidRDefault="00000000">
      <w:r>
        <w:rPr>
          <w:color w:val="000000"/>
        </w:rPr>
        <w:t>During 2024–25, POE offices requested targeted trainings based on identified needs. Examples include:</w:t>
      </w:r>
    </w:p>
    <w:p w14:paraId="51C7D374" w14:textId="77777777" w:rsidR="007876EE" w:rsidRDefault="00000000">
      <w:r>
        <w:rPr>
          <w:color w:val="000000"/>
        </w:rPr>
        <w:t>-First TN POE: Focus group on communication and professionalism.</w:t>
      </w:r>
    </w:p>
    <w:p w14:paraId="7A07FD80" w14:textId="77777777" w:rsidR="007876EE" w:rsidRDefault="00000000">
      <w:r>
        <w:rPr>
          <w:color w:val="000000"/>
        </w:rPr>
        <w:t>-Memphis TN POE: Training on Adobe Sign for efficient parent signature collection.</w:t>
      </w:r>
    </w:p>
    <w:p w14:paraId="1F951B14" w14:textId="77777777" w:rsidR="007876EE" w:rsidRDefault="007876EE"/>
    <w:p w14:paraId="363C803E" w14:textId="77777777" w:rsidR="007876EE" w:rsidRDefault="00000000">
      <w:r>
        <w:rPr>
          <w:color w:val="000000"/>
        </w:rPr>
        <w:t xml:space="preserve">Positive feedback and suggestions informed ongoing technical assistance efforts. POE </w:t>
      </w:r>
      <w:proofErr w:type="gramStart"/>
      <w:r>
        <w:rPr>
          <w:color w:val="000000"/>
        </w:rPr>
        <w:t>trainings</w:t>
      </w:r>
      <w:proofErr w:type="gramEnd"/>
      <w:r>
        <w:rPr>
          <w:color w:val="000000"/>
        </w:rPr>
        <w:t xml:space="preserve"> are offered upon request throughout the contract year.</w:t>
      </w:r>
    </w:p>
    <w:p w14:paraId="4A10AA48" w14:textId="77777777" w:rsidR="007876EE" w:rsidRDefault="007876EE"/>
    <w:p w14:paraId="7C616B3D" w14:textId="77777777" w:rsidR="007876EE" w:rsidRDefault="00000000">
      <w:r>
        <w:rPr>
          <w:color w:val="000000"/>
        </w:rPr>
        <w:t>Service Coordinator Support</w:t>
      </w:r>
    </w:p>
    <w:p w14:paraId="405BF042" w14:textId="77777777" w:rsidR="007876EE" w:rsidRDefault="00000000">
      <w:r>
        <w:rPr>
          <w:color w:val="000000"/>
        </w:rPr>
        <w:t>The Engagement Team provided individualized support for Service Coordinators identified by leadership as needing additional training. Activities included:</w:t>
      </w:r>
    </w:p>
    <w:p w14:paraId="221CD970" w14:textId="77777777" w:rsidR="007876EE" w:rsidRDefault="00000000">
      <w:r>
        <w:rPr>
          <w:color w:val="000000"/>
        </w:rPr>
        <w:t>-Chart reviews and observations.</w:t>
      </w:r>
    </w:p>
    <w:p w14:paraId="47CE5FC6" w14:textId="77777777" w:rsidR="007876EE" w:rsidRDefault="00000000">
      <w:r>
        <w:rPr>
          <w:color w:val="000000"/>
        </w:rPr>
        <w:t>-Customized training sessions.</w:t>
      </w:r>
    </w:p>
    <w:p w14:paraId="533D10B6" w14:textId="77777777" w:rsidR="007876EE" w:rsidRDefault="00000000">
      <w:r>
        <w:rPr>
          <w:color w:val="000000"/>
        </w:rPr>
        <w:t>-Collaboration with POE leadership.</w:t>
      </w:r>
    </w:p>
    <w:p w14:paraId="68B6F187" w14:textId="77777777" w:rsidR="007876EE" w:rsidRDefault="007876EE"/>
    <w:p w14:paraId="4D5CB8F6" w14:textId="77777777" w:rsidR="007876EE" w:rsidRDefault="00000000">
      <w:r>
        <w:rPr>
          <w:color w:val="000000"/>
        </w:rPr>
        <w:t>Visit frequency was based on need, and progress was measured individually. Next steps were clearly communicated. Service Coordinators reported positive impacts on their work, benefiting TEIS families and partners. Follow-up surveys captured feedback on helpful aspects and areas for improvement.</w:t>
      </w:r>
    </w:p>
    <w:p w14:paraId="793084F0" w14:textId="77777777" w:rsidR="007876EE" w:rsidRDefault="007876EE"/>
    <w:p w14:paraId="5568E7A4" w14:textId="77777777" w:rsidR="007876EE" w:rsidRDefault="00000000">
      <w:r>
        <w:rPr>
          <w:color w:val="000000"/>
        </w:rPr>
        <w:t>Training Highlights</w:t>
      </w:r>
    </w:p>
    <w:p w14:paraId="348B738B" w14:textId="77777777" w:rsidR="007876EE" w:rsidRDefault="00000000">
      <w:r>
        <w:rPr>
          <w:color w:val="000000"/>
        </w:rPr>
        <w:t>In 2024–25, 15 new online trainings were added for TEIS staff and EI community partners. Topics included:</w:t>
      </w:r>
    </w:p>
    <w:p w14:paraId="64DC63BA" w14:textId="77777777" w:rsidR="007876EE" w:rsidRDefault="00000000">
      <w:r>
        <w:rPr>
          <w:color w:val="000000"/>
        </w:rPr>
        <w:t>-Child Development Basics (Birth to Five) for Providers and TEIS Staff.</w:t>
      </w:r>
    </w:p>
    <w:p w14:paraId="75EAB44D" w14:textId="77777777" w:rsidR="007876EE" w:rsidRDefault="00000000">
      <w:r>
        <w:rPr>
          <w:color w:val="000000"/>
        </w:rPr>
        <w:t>-New Hire Orientation.</w:t>
      </w:r>
    </w:p>
    <w:p w14:paraId="4813F717" w14:textId="77777777" w:rsidR="007876EE" w:rsidRDefault="00000000">
      <w:r>
        <w:rPr>
          <w:color w:val="000000"/>
        </w:rPr>
        <w:t>-Service Coordination 101.</w:t>
      </w:r>
    </w:p>
    <w:p w14:paraId="40FB16C8" w14:textId="77777777" w:rsidR="007876EE" w:rsidRDefault="00000000">
      <w:r>
        <w:rPr>
          <w:color w:val="000000"/>
        </w:rPr>
        <w:t>-IFSP Goals 101.</w:t>
      </w:r>
    </w:p>
    <w:p w14:paraId="7BA5BFEF" w14:textId="77777777" w:rsidR="007876EE" w:rsidRDefault="00000000">
      <w:r>
        <w:rPr>
          <w:color w:val="000000"/>
        </w:rPr>
        <w:t>-FGRBI.</w:t>
      </w:r>
    </w:p>
    <w:p w14:paraId="20C12664" w14:textId="77777777" w:rsidR="007876EE" w:rsidRDefault="00000000">
      <w:r>
        <w:rPr>
          <w:color w:val="000000"/>
        </w:rPr>
        <w:t>-Mock TPC and IFSP Reviews.</w:t>
      </w:r>
    </w:p>
    <w:p w14:paraId="2CEA99D4" w14:textId="77777777" w:rsidR="007876EE" w:rsidRDefault="00000000">
      <w:r>
        <w:rPr>
          <w:color w:val="000000"/>
        </w:rPr>
        <w:t>-HOPE Family Outcomes Data Collection.</w:t>
      </w:r>
    </w:p>
    <w:p w14:paraId="3F1C2924" w14:textId="77777777" w:rsidR="007876EE" w:rsidRDefault="00000000">
      <w:r>
        <w:rPr>
          <w:color w:val="000000"/>
        </w:rPr>
        <w:t>-Sensitive and Effective Communication.</w:t>
      </w:r>
    </w:p>
    <w:p w14:paraId="36631CBA" w14:textId="77777777" w:rsidR="007876EE" w:rsidRDefault="00000000">
      <w:r>
        <w:rPr>
          <w:color w:val="000000"/>
        </w:rPr>
        <w:t>-System of Payments Policy Overview.</w:t>
      </w:r>
    </w:p>
    <w:p w14:paraId="1351CC76" w14:textId="77777777" w:rsidR="007876EE" w:rsidRDefault="00000000">
      <w:r>
        <w:rPr>
          <w:color w:val="000000"/>
        </w:rPr>
        <w:t>-Vendor Orientation.</w:t>
      </w:r>
    </w:p>
    <w:p w14:paraId="441D89E2" w14:textId="77777777" w:rsidR="007876EE" w:rsidRDefault="00000000">
      <w:r>
        <w:rPr>
          <w:color w:val="000000"/>
        </w:rPr>
        <w:lastRenderedPageBreak/>
        <w:t>-Rights Brochure/Procedural Safeguards.</w:t>
      </w:r>
    </w:p>
    <w:p w14:paraId="3C3F73BA" w14:textId="77777777" w:rsidR="007876EE" w:rsidRDefault="007876EE"/>
    <w:p w14:paraId="69476B21" w14:textId="77777777" w:rsidR="007876EE" w:rsidRDefault="00000000">
      <w:r>
        <w:rPr>
          <w:color w:val="000000"/>
        </w:rPr>
        <w:t>New hire training for Service Coordinators continues through Relias, with courses assigned during onboarding. Additional courses can be assigned as needed. POE leadership will soon have access to enhanced support tools for chart reviews and field observations. Each training includes feedback surveys to inform revisions.</w:t>
      </w:r>
    </w:p>
    <w:p w14:paraId="73E5B28B" w14:textId="77777777" w:rsidR="00181DEB" w:rsidRPr="00ED172B" w:rsidRDefault="00181DEB">
      <w:pPr>
        <w:rPr>
          <w:b/>
          <w:color w:val="000000" w:themeColor="text1"/>
        </w:rPr>
      </w:pPr>
      <w:r w:rsidRPr="00ED172B">
        <w:rPr>
          <w:b/>
          <w:color w:val="000000" w:themeColor="text1"/>
        </w:rPr>
        <w:t>Professional Development System:</w:t>
      </w:r>
    </w:p>
    <w:p w14:paraId="4DFF6B5E" w14:textId="77777777"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have the skills to effectively provide services that improve results for infants and toddlers with disabilities and their families.</w:t>
      </w:r>
    </w:p>
    <w:p w14:paraId="5AC6CC24" w14:textId="77777777" w:rsidR="003A4D77" w:rsidRPr="00ED172B" w:rsidRDefault="00860830" w:rsidP="00181DEB">
      <w:pPr>
        <w:rPr>
          <w:color w:val="000000" w:themeColor="text1"/>
          <w:szCs w:val="16"/>
        </w:rPr>
      </w:pPr>
      <w:r w:rsidRPr="00ED172B">
        <w:rPr>
          <w:color w:val="000000" w:themeColor="text1"/>
          <w:szCs w:val="16"/>
        </w:rPr>
        <w:t xml:space="preserve">The TEIS Staff and Provider Engagement Team </w:t>
      </w:r>
      <w:proofErr w:type="gramStart"/>
      <w:r w:rsidRPr="00ED172B">
        <w:rPr>
          <w:color w:val="000000" w:themeColor="text1"/>
          <w:szCs w:val="16"/>
        </w:rPr>
        <w:t>ensures</w:t>
      </w:r>
      <w:proofErr w:type="gramEnd"/>
      <w:r w:rsidRPr="00ED172B">
        <w:rPr>
          <w:color w:val="000000" w:themeColor="text1"/>
          <w:szCs w:val="16"/>
        </w:rPr>
        <w:t xml:space="preserve"> TEIS maintains a Comprehensive Training Plan to meet the needs of staff, providers, and families. The technical assistance plan to support EIS providers in 2024-25 included:</w:t>
      </w:r>
    </w:p>
    <w:p w14:paraId="17925680" w14:textId="77777777" w:rsidR="007876EE" w:rsidRDefault="00000000">
      <w:r>
        <w:rPr>
          <w:color w:val="000000"/>
        </w:rPr>
        <w:t>-Written operations manuals for staff and providers.</w:t>
      </w:r>
    </w:p>
    <w:p w14:paraId="640D22AC" w14:textId="77777777" w:rsidR="007876EE" w:rsidRDefault="00000000">
      <w:r>
        <w:rPr>
          <w:color w:val="000000"/>
        </w:rPr>
        <w:t>-Training and technical assistance opportunities.</w:t>
      </w:r>
    </w:p>
    <w:p w14:paraId="66F806D6" w14:textId="77777777" w:rsidR="007876EE" w:rsidRDefault="00000000">
      <w:r>
        <w:rPr>
          <w:color w:val="000000"/>
        </w:rPr>
        <w:t>-Opportunities to engage with TEIS leadership and the early intervention community.</w:t>
      </w:r>
    </w:p>
    <w:p w14:paraId="542B1E3A" w14:textId="77777777" w:rsidR="007876EE" w:rsidRDefault="007876EE"/>
    <w:p w14:paraId="153372C9" w14:textId="77777777" w:rsidR="007876EE" w:rsidRDefault="00000000">
      <w:r>
        <w:rPr>
          <w:color w:val="000000"/>
        </w:rPr>
        <w:t>The TEIS website provides extensive resources for providers, including:</w:t>
      </w:r>
    </w:p>
    <w:p w14:paraId="71C74915" w14:textId="77777777" w:rsidR="007876EE" w:rsidRDefault="00000000">
      <w:r>
        <w:rPr>
          <w:color w:val="000000"/>
        </w:rPr>
        <w:t>-A Provider Guidance Manual (updated at least twice per year).</w:t>
      </w:r>
    </w:p>
    <w:p w14:paraId="054B9016" w14:textId="77777777" w:rsidR="007876EE" w:rsidRDefault="00000000">
      <w:r>
        <w:rPr>
          <w:color w:val="000000"/>
        </w:rPr>
        <w:t>-Training materials, resource documents, and online forms.</w:t>
      </w:r>
    </w:p>
    <w:p w14:paraId="3EE34D5F" w14:textId="77777777" w:rsidR="007876EE" w:rsidRDefault="007876EE"/>
    <w:p w14:paraId="311C03E3" w14:textId="77777777" w:rsidR="007876EE" w:rsidRDefault="00000000">
      <w:r>
        <w:rPr>
          <w:color w:val="000000"/>
        </w:rPr>
        <w:t>Professional Development in FFY 2024–25 targeted contracted providers, staff, and families and was delivered through multiple formats:</w:t>
      </w:r>
    </w:p>
    <w:p w14:paraId="1ACDF528" w14:textId="77777777" w:rsidR="007876EE" w:rsidRDefault="00000000">
      <w:r>
        <w:rPr>
          <w:color w:val="000000"/>
        </w:rPr>
        <w:t>-Webinars (Lunch and Learn sessions)</w:t>
      </w:r>
    </w:p>
    <w:p w14:paraId="6A42C344" w14:textId="77777777" w:rsidR="007876EE" w:rsidRDefault="00000000">
      <w:r>
        <w:rPr>
          <w:color w:val="000000"/>
        </w:rPr>
        <w:t xml:space="preserve">-Online </w:t>
      </w:r>
      <w:proofErr w:type="gramStart"/>
      <w:r>
        <w:rPr>
          <w:color w:val="000000"/>
        </w:rPr>
        <w:t>trainings</w:t>
      </w:r>
      <w:proofErr w:type="gramEnd"/>
    </w:p>
    <w:p w14:paraId="1E49E956" w14:textId="77777777" w:rsidR="007876EE" w:rsidRDefault="00000000">
      <w:r>
        <w:rPr>
          <w:color w:val="000000"/>
        </w:rPr>
        <w:t xml:space="preserve">-In-person </w:t>
      </w:r>
      <w:proofErr w:type="gramStart"/>
      <w:r>
        <w:rPr>
          <w:color w:val="000000"/>
        </w:rPr>
        <w:t>trainings</w:t>
      </w:r>
      <w:proofErr w:type="gramEnd"/>
    </w:p>
    <w:p w14:paraId="148955B9" w14:textId="77777777" w:rsidR="007876EE" w:rsidRDefault="00000000">
      <w:r>
        <w:rPr>
          <w:color w:val="000000"/>
        </w:rPr>
        <w:t>-Coffee Break sessions</w:t>
      </w:r>
    </w:p>
    <w:p w14:paraId="73AA46A3" w14:textId="77777777" w:rsidR="007876EE" w:rsidRDefault="00000000">
      <w:r>
        <w:rPr>
          <w:color w:val="000000"/>
        </w:rPr>
        <w:t>-Ongoing coaching for Early Interventionists (EIs)</w:t>
      </w:r>
    </w:p>
    <w:p w14:paraId="6664D067" w14:textId="77777777" w:rsidR="007876EE" w:rsidRDefault="007876EE"/>
    <w:p w14:paraId="449BDC8E" w14:textId="77777777" w:rsidR="007876EE" w:rsidRDefault="00000000">
      <w:r>
        <w:rPr>
          <w:color w:val="000000"/>
        </w:rPr>
        <w:t>Key Professional Development Initiatives</w:t>
      </w:r>
    </w:p>
    <w:p w14:paraId="2A6904F6" w14:textId="77777777" w:rsidR="007876EE" w:rsidRDefault="007876EE"/>
    <w:p w14:paraId="19F00EE3" w14:textId="77777777" w:rsidR="007876EE" w:rsidRDefault="00000000">
      <w:r>
        <w:rPr>
          <w:color w:val="000000"/>
        </w:rPr>
        <w:t>Time for Teaming (TFT) are regional events hosted by TEIS for POE and EIRA personnel.</w:t>
      </w:r>
    </w:p>
    <w:p w14:paraId="2977D2D0" w14:textId="77777777" w:rsidR="007876EE" w:rsidRDefault="00000000">
      <w:r>
        <w:rPr>
          <w:color w:val="000000"/>
        </w:rPr>
        <w:t>-In Spring 2025, a TFT mini-conference was held in West Tennessee, focusing on promoting resilience in professional practice. Parents shared firsthand experiences during presentations.</w:t>
      </w:r>
    </w:p>
    <w:p w14:paraId="74DF3FD0" w14:textId="77777777" w:rsidR="007876EE" w:rsidRDefault="00000000">
      <w:r>
        <w:rPr>
          <w:color w:val="000000"/>
        </w:rPr>
        <w:t>-Attendance: 222 participants, including parents, Service Coordinators, POE leadership, EIRA leadership and staff, evaluation staff, therapy vendors, and TEIS leadership.</w:t>
      </w:r>
    </w:p>
    <w:p w14:paraId="33A00EFE" w14:textId="77777777" w:rsidR="007876EE" w:rsidRDefault="007876EE"/>
    <w:p w14:paraId="1E6BE6A4" w14:textId="77777777" w:rsidR="007876EE" w:rsidRDefault="00000000">
      <w:r>
        <w:rPr>
          <w:color w:val="000000"/>
        </w:rPr>
        <w:t>Capacity Building Services (Vanderbilt TRIAD Partnership) is an intensive coaching partnership for Early Interventionists offering:</w:t>
      </w:r>
    </w:p>
    <w:p w14:paraId="2C7BD62E" w14:textId="77777777" w:rsidR="007876EE" w:rsidRDefault="00000000">
      <w:r>
        <w:rPr>
          <w:color w:val="000000"/>
        </w:rPr>
        <w:t>-FGRBI small group and peer support sessions</w:t>
      </w:r>
    </w:p>
    <w:p w14:paraId="25D469D2" w14:textId="77777777" w:rsidR="007876EE" w:rsidRDefault="00000000">
      <w:r>
        <w:rPr>
          <w:color w:val="000000"/>
        </w:rPr>
        <w:t>-Communication Academy for early communicators</w:t>
      </w:r>
    </w:p>
    <w:p w14:paraId="60EC5F39" w14:textId="77777777" w:rsidR="007876EE" w:rsidRDefault="00000000">
      <w:r>
        <w:rPr>
          <w:color w:val="000000"/>
        </w:rPr>
        <w:t>-Community of Practice featuring case studies</w:t>
      </w:r>
    </w:p>
    <w:p w14:paraId="670E07EA" w14:textId="77777777" w:rsidR="007876EE" w:rsidRDefault="00000000">
      <w:r>
        <w:rPr>
          <w:color w:val="000000"/>
        </w:rPr>
        <w:t>-Archived webinars available on TRIAD’s learning platform</w:t>
      </w:r>
    </w:p>
    <w:p w14:paraId="20527FAA" w14:textId="77777777" w:rsidR="007876EE" w:rsidRDefault="007876EE"/>
    <w:p w14:paraId="17F86691" w14:textId="77777777" w:rsidR="007876EE" w:rsidRDefault="00000000">
      <w:r>
        <w:rPr>
          <w:color w:val="000000"/>
        </w:rPr>
        <w:t xml:space="preserve">Coffee Break Series for EIRA directors and leadership. Topics included: </w:t>
      </w:r>
    </w:p>
    <w:p w14:paraId="2F8378EE" w14:textId="77777777" w:rsidR="007876EE" w:rsidRDefault="00000000">
      <w:r>
        <w:rPr>
          <w:color w:val="000000"/>
        </w:rPr>
        <w:t>-FGRBI Coaching and Reflection</w:t>
      </w:r>
    </w:p>
    <w:p w14:paraId="61C31B66" w14:textId="77777777" w:rsidR="007876EE" w:rsidRDefault="00000000">
      <w:r>
        <w:rPr>
          <w:color w:val="000000"/>
        </w:rPr>
        <w:t>-EI Competencies</w:t>
      </w:r>
    </w:p>
    <w:p w14:paraId="14FF0933" w14:textId="77777777" w:rsidR="007876EE" w:rsidRDefault="00000000">
      <w:r>
        <w:rPr>
          <w:color w:val="000000"/>
        </w:rPr>
        <w:t>-Evidence-Based Practice in Childcare Settings</w:t>
      </w:r>
    </w:p>
    <w:p w14:paraId="1710A7A5" w14:textId="77777777" w:rsidR="007876EE" w:rsidRDefault="00000000">
      <w:r>
        <w:rPr>
          <w:color w:val="000000"/>
        </w:rPr>
        <w:t>-Adult Learning Principles (Dr. Dana Childress, 6 sessions)</w:t>
      </w:r>
    </w:p>
    <w:p w14:paraId="74FC2EAB" w14:textId="77777777" w:rsidR="007876EE" w:rsidRDefault="00000000">
      <w:r>
        <w:rPr>
          <w:color w:val="000000"/>
        </w:rPr>
        <w:t>-Problem Solving and Goal Adaptation</w:t>
      </w:r>
    </w:p>
    <w:p w14:paraId="09974C23" w14:textId="77777777" w:rsidR="007876EE" w:rsidRDefault="00000000">
      <w:r>
        <w:rPr>
          <w:color w:val="000000"/>
        </w:rPr>
        <w:t>-Challenging Home Visit Situations</w:t>
      </w:r>
    </w:p>
    <w:p w14:paraId="0C50917E" w14:textId="77777777" w:rsidR="007876EE" w:rsidRDefault="00000000">
      <w:r>
        <w:rPr>
          <w:color w:val="000000"/>
        </w:rPr>
        <w:t>-Constructive Feedback</w:t>
      </w:r>
    </w:p>
    <w:p w14:paraId="09EA39C9" w14:textId="77777777" w:rsidR="007876EE" w:rsidRDefault="007876EE"/>
    <w:p w14:paraId="79B79188" w14:textId="77777777" w:rsidR="007876EE" w:rsidRDefault="00000000">
      <w:r>
        <w:rPr>
          <w:color w:val="000000"/>
        </w:rPr>
        <w:t xml:space="preserve">EIRA Quarterly Meetings were held in person. Topics for 2024-25 included: </w:t>
      </w:r>
    </w:p>
    <w:p w14:paraId="1257137B" w14:textId="77777777" w:rsidR="007876EE" w:rsidRDefault="00000000">
      <w:r>
        <w:rPr>
          <w:color w:val="000000"/>
        </w:rPr>
        <w:t>-Resources for EIs and childcare providers</w:t>
      </w:r>
    </w:p>
    <w:p w14:paraId="31931FF0" w14:textId="77777777" w:rsidR="007876EE" w:rsidRDefault="00000000">
      <w:r>
        <w:rPr>
          <w:color w:val="000000"/>
        </w:rPr>
        <w:t>-Recruitment strategies for EI professionals</w:t>
      </w:r>
    </w:p>
    <w:p w14:paraId="743D1440" w14:textId="77777777" w:rsidR="007876EE" w:rsidRDefault="00000000">
      <w:r>
        <w:rPr>
          <w:color w:val="000000"/>
        </w:rPr>
        <w:t>-Accreditation for TN DDA and TEIS</w:t>
      </w:r>
    </w:p>
    <w:p w14:paraId="663EC1D3" w14:textId="77777777" w:rsidR="007876EE" w:rsidRDefault="00000000">
      <w:r>
        <w:rPr>
          <w:color w:val="000000"/>
        </w:rPr>
        <w:t>-TN Department of Children’s Services procedures</w:t>
      </w:r>
    </w:p>
    <w:p w14:paraId="109EAF1F" w14:textId="77777777" w:rsidR="007876EE" w:rsidRDefault="00000000">
      <w:r>
        <w:rPr>
          <w:color w:val="000000"/>
        </w:rPr>
        <w:t>-EI TN Endorsement long-range plans</w:t>
      </w:r>
    </w:p>
    <w:p w14:paraId="32B0E838" w14:textId="77777777" w:rsidR="007876EE" w:rsidRDefault="007876EE"/>
    <w:p w14:paraId="47C96969" w14:textId="77777777" w:rsidR="007876EE" w:rsidRDefault="00000000">
      <w:r>
        <w:rPr>
          <w:color w:val="000000"/>
        </w:rPr>
        <w:t xml:space="preserve">Individualized Support for EIS Providers included: </w:t>
      </w:r>
    </w:p>
    <w:p w14:paraId="14DDBC69" w14:textId="77777777" w:rsidR="007876EE" w:rsidRDefault="00000000">
      <w:r>
        <w:rPr>
          <w:color w:val="000000"/>
        </w:rPr>
        <w:t>-Online Training reviewed and updated regularly by the TEIS Staff and Provider Engagement Team and accessible via the Relias Learning Management System and linked on the TEIS Community Resource website.</w:t>
      </w:r>
    </w:p>
    <w:p w14:paraId="1991C4C4" w14:textId="77777777" w:rsidR="007876EE" w:rsidRDefault="007876EE"/>
    <w:p w14:paraId="083644A9" w14:textId="77777777" w:rsidR="007876EE" w:rsidRDefault="00000000">
      <w:r>
        <w:rPr>
          <w:color w:val="000000"/>
        </w:rPr>
        <w:t xml:space="preserve">-15 new online trainings added in 2024–25, including: </w:t>
      </w:r>
    </w:p>
    <w:p w14:paraId="24F4B660" w14:textId="77777777" w:rsidR="007876EE" w:rsidRDefault="00000000">
      <w:r>
        <w:rPr>
          <w:color w:val="000000"/>
        </w:rPr>
        <w:lastRenderedPageBreak/>
        <w:t>-Child Development Basics (Birth to Five)</w:t>
      </w:r>
    </w:p>
    <w:p w14:paraId="5B055671" w14:textId="77777777" w:rsidR="007876EE" w:rsidRDefault="00000000">
      <w:r>
        <w:rPr>
          <w:color w:val="000000"/>
        </w:rPr>
        <w:t>-Introduction to TEIDS for Providers</w:t>
      </w:r>
    </w:p>
    <w:p w14:paraId="76D21785" w14:textId="77777777" w:rsidR="007876EE" w:rsidRDefault="00000000">
      <w:r>
        <w:rPr>
          <w:color w:val="000000"/>
        </w:rPr>
        <w:t>-IFSP Goals 101</w:t>
      </w:r>
    </w:p>
    <w:p w14:paraId="74DD4DC9" w14:textId="77777777" w:rsidR="007876EE" w:rsidRDefault="00000000">
      <w:r>
        <w:rPr>
          <w:color w:val="000000"/>
        </w:rPr>
        <w:t>-FGRBI</w:t>
      </w:r>
    </w:p>
    <w:p w14:paraId="68FE1D9D" w14:textId="77777777" w:rsidR="007876EE" w:rsidRDefault="00000000">
      <w:r>
        <w:rPr>
          <w:color w:val="000000"/>
        </w:rPr>
        <w:t>-Mock TPC and IFSP Reviews</w:t>
      </w:r>
    </w:p>
    <w:p w14:paraId="77C30B24" w14:textId="77777777" w:rsidR="007876EE" w:rsidRDefault="00000000">
      <w:r>
        <w:rPr>
          <w:color w:val="000000"/>
        </w:rPr>
        <w:t>-Sensitive and Effective Communication</w:t>
      </w:r>
    </w:p>
    <w:p w14:paraId="108F4EA1" w14:textId="77777777" w:rsidR="007876EE" w:rsidRDefault="00000000">
      <w:r>
        <w:rPr>
          <w:color w:val="000000"/>
        </w:rPr>
        <w:t>-System of Payments Policy Overview</w:t>
      </w:r>
    </w:p>
    <w:p w14:paraId="64C8355A" w14:textId="77777777" w:rsidR="007876EE" w:rsidRDefault="00000000">
      <w:r>
        <w:rPr>
          <w:color w:val="000000"/>
        </w:rPr>
        <w:t>-Vendor Orientation</w:t>
      </w:r>
    </w:p>
    <w:p w14:paraId="6FB3A6BE" w14:textId="77777777" w:rsidR="007876EE" w:rsidRDefault="00000000">
      <w:r>
        <w:rPr>
          <w:color w:val="000000"/>
        </w:rPr>
        <w:t>-Rights Brochure/Procedural Safeguards</w:t>
      </w:r>
    </w:p>
    <w:p w14:paraId="5A10BA30" w14:textId="77777777" w:rsidR="007876EE" w:rsidRDefault="007876EE"/>
    <w:p w14:paraId="4EC3A452" w14:textId="77777777" w:rsidR="007876EE" w:rsidRDefault="00000000">
      <w:r>
        <w:rPr>
          <w:color w:val="000000"/>
        </w:rPr>
        <w:t>Lunch and Learn Sessions are held monthly with recordings posted on the TEIS Community Resource website. Topics in 2024-25 included:</w:t>
      </w:r>
    </w:p>
    <w:p w14:paraId="4283B24F" w14:textId="77777777" w:rsidR="007876EE" w:rsidRDefault="00000000">
      <w:r>
        <w:rPr>
          <w:color w:val="000000"/>
        </w:rPr>
        <w:t>-Self-Care at Work in Early Intervention</w:t>
      </w:r>
    </w:p>
    <w:p w14:paraId="515C5657" w14:textId="77777777" w:rsidR="007876EE" w:rsidRDefault="00000000">
      <w:r>
        <w:rPr>
          <w:color w:val="000000"/>
        </w:rPr>
        <w:t>-Genetic Testing in Infants and Children</w:t>
      </w:r>
    </w:p>
    <w:p w14:paraId="5E69390C" w14:textId="77777777" w:rsidR="007876EE" w:rsidRDefault="00000000">
      <w:r>
        <w:rPr>
          <w:color w:val="000000"/>
        </w:rPr>
        <w:t>-Early Childhood Transition</w:t>
      </w:r>
    </w:p>
    <w:p w14:paraId="05BE5B5A" w14:textId="77777777" w:rsidR="007876EE" w:rsidRDefault="00000000">
      <w:r>
        <w:rPr>
          <w:color w:val="000000"/>
        </w:rPr>
        <w:t>-Conscious Discipline</w:t>
      </w:r>
    </w:p>
    <w:p w14:paraId="72C344F0" w14:textId="77777777" w:rsidR="007876EE" w:rsidRDefault="00000000">
      <w:r>
        <w:rPr>
          <w:color w:val="000000"/>
        </w:rPr>
        <w:t>-Building Strong Foundations for Early Literacy</w:t>
      </w:r>
    </w:p>
    <w:p w14:paraId="4838A2B3" w14:textId="77777777" w:rsidR="00D62BE4" w:rsidRPr="00D62BE4" w:rsidRDefault="00492B6F" w:rsidP="00D62BE4">
      <w:pPr>
        <w:rPr>
          <w:b/>
          <w:color w:val="000000" w:themeColor="text1"/>
        </w:rPr>
      </w:pPr>
      <w:r>
        <w:rPr>
          <w:b/>
          <w:color w:val="000000" w:themeColor="text1"/>
        </w:rPr>
        <w:t xml:space="preserve">Stakeholder Engagement: </w:t>
      </w:r>
    </w:p>
    <w:p w14:paraId="3FC67C14" w14:textId="77777777" w:rsidR="00B717AA" w:rsidRDefault="00492B6F" w:rsidP="00D62BE4">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sidRPr="00D62BE4" w:rsidDel="00492B6F">
        <w:rPr>
          <w:b/>
          <w:color w:val="000000" w:themeColor="text1"/>
        </w:rPr>
        <w:t xml:space="preserve"> </w:t>
      </w:r>
    </w:p>
    <w:p w14:paraId="3C92D6F2" w14:textId="77777777" w:rsidR="00D62BE4" w:rsidRPr="00F85A5B" w:rsidRDefault="00116D8B" w:rsidP="00D62BE4">
      <w:pPr>
        <w:rPr>
          <w:color w:val="000000" w:themeColor="text1"/>
          <w:szCs w:val="16"/>
        </w:rPr>
      </w:pPr>
      <w:r w:rsidRPr="00ED172B">
        <w:rPr>
          <w:color w:val="000000" w:themeColor="text1"/>
          <w:szCs w:val="16"/>
        </w:rPr>
        <w:t>TEIS incorporates broad stakeholder input when addressing areas of need within the system through multiple channels, including:</w:t>
      </w:r>
    </w:p>
    <w:p w14:paraId="684CC6EC" w14:textId="77777777" w:rsidR="007876EE" w:rsidRDefault="007876EE"/>
    <w:p w14:paraId="647830BC" w14:textId="77777777" w:rsidR="007876EE" w:rsidRDefault="00000000">
      <w:r>
        <w:rPr>
          <w:color w:val="000000"/>
        </w:rPr>
        <w:t>-State Interagency Coordinating Council (SICC) membership and attending visitors.</w:t>
      </w:r>
    </w:p>
    <w:p w14:paraId="71F296CD" w14:textId="77777777" w:rsidR="007876EE" w:rsidRDefault="00000000">
      <w:r>
        <w:rPr>
          <w:color w:val="000000"/>
        </w:rPr>
        <w:t>-TEIS, EIRA, and Vendor Advisory Councils.</w:t>
      </w:r>
    </w:p>
    <w:p w14:paraId="02903601" w14:textId="77777777" w:rsidR="007876EE" w:rsidRDefault="00000000">
      <w:r>
        <w:rPr>
          <w:color w:val="000000"/>
        </w:rPr>
        <w:t>-Office Hours sessions.</w:t>
      </w:r>
    </w:p>
    <w:p w14:paraId="71747DD5" w14:textId="77777777" w:rsidR="007876EE" w:rsidRDefault="00000000">
      <w:r>
        <w:rPr>
          <w:color w:val="000000"/>
        </w:rPr>
        <w:t>-Feedback from family surveys, advocacy groups, and local engagement efforts.</w:t>
      </w:r>
    </w:p>
    <w:p w14:paraId="1D0C3A70" w14:textId="77777777" w:rsidR="007876EE" w:rsidRDefault="007876EE"/>
    <w:p w14:paraId="792A8E03" w14:textId="77777777" w:rsidR="007876EE" w:rsidRDefault="00000000">
      <w:r>
        <w:rPr>
          <w:color w:val="000000"/>
        </w:rPr>
        <w:t>The TEIS website and department newsletter provide stakeholders with consistent updates on program activities and service delivery.</w:t>
      </w:r>
    </w:p>
    <w:p w14:paraId="7096F330" w14:textId="77777777" w:rsidR="007876EE" w:rsidRDefault="007876EE"/>
    <w:p w14:paraId="69FC5A11" w14:textId="77777777" w:rsidR="007876EE" w:rsidRDefault="00000000">
      <w:r>
        <w:rPr>
          <w:color w:val="000000"/>
        </w:rPr>
        <w:t>State Interagency Coordinating Council (SICC)</w:t>
      </w:r>
    </w:p>
    <w:p w14:paraId="11183218"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6846761E" w14:textId="77777777" w:rsidR="007876EE" w:rsidRDefault="007876EE"/>
    <w:p w14:paraId="722E4DF6" w14:textId="77777777" w:rsidR="007876EE" w:rsidRDefault="00000000">
      <w:r>
        <w:rPr>
          <w:color w:val="000000"/>
        </w:rPr>
        <w:t>Meetings are open to the public, and agenda topics can be submitted via the TEIS website. Topics addressed in 2024-25 included:</w:t>
      </w:r>
    </w:p>
    <w:p w14:paraId="7571DA3D" w14:textId="77777777" w:rsidR="007876EE" w:rsidRDefault="00000000">
      <w:r>
        <w:rPr>
          <w:color w:val="000000"/>
        </w:rPr>
        <w:t>-HOPE Family Survey results and feedback.</w:t>
      </w:r>
    </w:p>
    <w:p w14:paraId="2BCE4A60" w14:textId="77777777" w:rsidR="007876EE" w:rsidRDefault="00000000">
      <w:r>
        <w:rPr>
          <w:color w:val="000000"/>
        </w:rPr>
        <w:t>-Results Monitoring.</w:t>
      </w:r>
    </w:p>
    <w:p w14:paraId="2408143A" w14:textId="77777777" w:rsidR="007876EE" w:rsidRDefault="00000000">
      <w:r>
        <w:rPr>
          <w:color w:val="000000"/>
        </w:rPr>
        <w:t>-TEIS Central Office team functions.</w:t>
      </w:r>
    </w:p>
    <w:p w14:paraId="64FCB642" w14:textId="77777777" w:rsidR="007876EE" w:rsidRDefault="00000000">
      <w:r>
        <w:rPr>
          <w:color w:val="000000"/>
        </w:rPr>
        <w:t>-POE initiatives and regional goals.</w:t>
      </w:r>
    </w:p>
    <w:p w14:paraId="4DE8DCDD" w14:textId="77777777" w:rsidR="007876EE" w:rsidRDefault="00000000">
      <w:r>
        <w:rPr>
          <w:color w:val="000000"/>
        </w:rPr>
        <w:t>-Other program updates.</w:t>
      </w:r>
    </w:p>
    <w:p w14:paraId="796DF0C9" w14:textId="77777777" w:rsidR="007876EE" w:rsidRDefault="007876EE"/>
    <w:p w14:paraId="09BB3B72" w14:textId="77777777" w:rsidR="007876EE" w:rsidRDefault="00000000">
      <w:r>
        <w:rPr>
          <w:color w:val="000000"/>
        </w:rPr>
        <w:t>Additionally, SICC provided direct feedback to OSEP during Tennessee’s DMS 2.0 audit.</w:t>
      </w:r>
    </w:p>
    <w:p w14:paraId="6EE43198" w14:textId="77777777" w:rsidR="007876EE" w:rsidRDefault="007876EE"/>
    <w:p w14:paraId="434F825D" w14:textId="77777777" w:rsidR="007876EE" w:rsidRDefault="00000000">
      <w:r>
        <w:rPr>
          <w:color w:val="000000"/>
        </w:rPr>
        <w:t>Advisory Councils</w:t>
      </w:r>
    </w:p>
    <w:p w14:paraId="5C490439" w14:textId="77777777" w:rsidR="007876EE" w:rsidRDefault="00000000">
      <w:r>
        <w:rPr>
          <w:color w:val="000000"/>
        </w:rPr>
        <w:t>Two advisory councils serve as key feedback channels:</w:t>
      </w:r>
    </w:p>
    <w:p w14:paraId="7833E1C2" w14:textId="77777777" w:rsidR="007876EE" w:rsidRDefault="00000000">
      <w:r>
        <w:rPr>
          <w:color w:val="000000"/>
        </w:rPr>
        <w:t>-Early Intervention Resource Agency (EIRA) Advisory Council – Agencies providing developmental therapy.</w:t>
      </w:r>
    </w:p>
    <w:p w14:paraId="7968D49F" w14:textId="77777777" w:rsidR="007876EE" w:rsidRDefault="00000000">
      <w:r>
        <w:rPr>
          <w:color w:val="000000"/>
        </w:rPr>
        <w:t>-Vendor Advisory Council – Agencies providing therapy services (speech, physical, occupational).</w:t>
      </w:r>
    </w:p>
    <w:p w14:paraId="45B1CF6C" w14:textId="77777777" w:rsidR="007876EE" w:rsidRDefault="007876EE"/>
    <w:p w14:paraId="516F3F38" w14:textId="77777777" w:rsidR="007876EE" w:rsidRDefault="00000000">
      <w:r>
        <w:rPr>
          <w:color w:val="000000"/>
        </w:rPr>
        <w:t>Updates from both councils are shared at quarterly SICC meetings. Membership includes contracted EIS provider agencies.</w:t>
      </w:r>
    </w:p>
    <w:p w14:paraId="33D93125" w14:textId="77777777" w:rsidR="007876EE" w:rsidRDefault="007876EE"/>
    <w:p w14:paraId="2E3F1E33" w14:textId="77777777" w:rsidR="007876EE" w:rsidRDefault="00000000">
      <w:r>
        <w:rPr>
          <w:color w:val="000000"/>
        </w:rPr>
        <w:t>EIRA Advisory Council focuses on:</w:t>
      </w:r>
    </w:p>
    <w:p w14:paraId="4676687D" w14:textId="77777777" w:rsidR="007876EE" w:rsidRDefault="00000000">
      <w:r>
        <w:rPr>
          <w:color w:val="000000"/>
        </w:rPr>
        <w:t>-Improving services for children and families.</w:t>
      </w:r>
    </w:p>
    <w:p w14:paraId="479354B5" w14:textId="77777777" w:rsidR="007876EE" w:rsidRDefault="00000000">
      <w:r>
        <w:rPr>
          <w:color w:val="000000"/>
        </w:rPr>
        <w:t>-Increasing access to services statewide.</w:t>
      </w:r>
    </w:p>
    <w:p w14:paraId="7A2580A9" w14:textId="77777777" w:rsidR="007876EE" w:rsidRDefault="00000000">
      <w:r>
        <w:rPr>
          <w:color w:val="000000"/>
        </w:rPr>
        <w:t>-Enhancing communication between TEIS and EIRAs.</w:t>
      </w:r>
    </w:p>
    <w:p w14:paraId="0BC5DC97" w14:textId="77777777" w:rsidR="007876EE" w:rsidRDefault="007876EE"/>
    <w:p w14:paraId="40AC56CF"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2E8B27C1" w14:textId="77777777" w:rsidR="007876EE" w:rsidRDefault="007876EE"/>
    <w:p w14:paraId="2B80E7D0" w14:textId="77777777" w:rsidR="007876EE" w:rsidRDefault="00000000">
      <w:r>
        <w:rPr>
          <w:color w:val="000000"/>
        </w:rPr>
        <w:t>Vendor Advisory Council collaborates on:</w:t>
      </w:r>
    </w:p>
    <w:p w14:paraId="0B49E218" w14:textId="77777777" w:rsidR="007876EE" w:rsidRDefault="00000000">
      <w:r>
        <w:rPr>
          <w:color w:val="000000"/>
        </w:rPr>
        <w:t>-Issues impacting therapy vendors.</w:t>
      </w:r>
    </w:p>
    <w:p w14:paraId="2C7369CB" w14:textId="77777777" w:rsidR="007876EE" w:rsidRDefault="00000000">
      <w:r>
        <w:rPr>
          <w:color w:val="000000"/>
        </w:rPr>
        <w:t>-Streamlining billing and business processes.</w:t>
      </w:r>
    </w:p>
    <w:p w14:paraId="62AE57A0" w14:textId="77777777" w:rsidR="007876EE" w:rsidRDefault="00000000">
      <w:r>
        <w:rPr>
          <w:color w:val="000000"/>
        </w:rPr>
        <w:lastRenderedPageBreak/>
        <w:t>-Improving IFSP teaming in partnership with the EIRA Advisory Council.</w:t>
      </w:r>
    </w:p>
    <w:p w14:paraId="55648EE2" w14:textId="77777777" w:rsidR="007876EE" w:rsidRDefault="007876EE"/>
    <w:p w14:paraId="0DCA5450" w14:textId="77777777" w:rsidR="007876EE" w:rsidRDefault="00000000">
      <w:r>
        <w:rPr>
          <w:color w:val="000000"/>
        </w:rPr>
        <w:t>Council Structure</w:t>
      </w:r>
    </w:p>
    <w:p w14:paraId="26113D3B"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7E66D4CD" w14:textId="77777777" w:rsidR="007876EE" w:rsidRDefault="007876EE"/>
    <w:p w14:paraId="49FEAA8B" w14:textId="77777777" w:rsidR="007876EE" w:rsidRDefault="00000000">
      <w:r>
        <w:rPr>
          <w:color w:val="000000"/>
        </w:rPr>
        <w:t>Office Hours</w:t>
      </w:r>
    </w:p>
    <w:p w14:paraId="49E169E4"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67A83009" w14:textId="77777777" w:rsidR="007876EE" w:rsidRDefault="007876EE"/>
    <w:p w14:paraId="3A47ABCD" w14:textId="77777777" w:rsidR="007876EE" w:rsidRDefault="00000000">
      <w:r>
        <w:rPr>
          <w:color w:val="000000"/>
        </w:rPr>
        <w:t>Parent Engagement</w:t>
      </w:r>
    </w:p>
    <w:p w14:paraId="6A96ABD7" w14:textId="77777777" w:rsidR="007876EE" w:rsidRDefault="00000000">
      <w:r>
        <w:rPr>
          <w:color w:val="000000"/>
        </w:rPr>
        <w:t>Stakeholder engagement activities—along with professional development and technical assistance—help build the capacity of parents through:</w:t>
      </w:r>
    </w:p>
    <w:p w14:paraId="314B452D" w14:textId="77777777" w:rsidR="007876EE" w:rsidRDefault="00000000">
      <w:r>
        <w:rPr>
          <w:color w:val="000000"/>
        </w:rPr>
        <w:t>-Direct engagement: Participation in SICC or local councils, training sessions, surveys, and direct communication with TEIS leadership.</w:t>
      </w:r>
    </w:p>
    <w:p w14:paraId="2FA9A2AB" w14:textId="77777777" w:rsidR="007876EE" w:rsidRDefault="00000000">
      <w:r>
        <w:rPr>
          <w:color w:val="000000"/>
        </w:rPr>
        <w:t>-Indirect engagement: Training and monitoring systems that strengthen IFSP team members’ knowledge and skills, benefiting children and families.</w:t>
      </w:r>
    </w:p>
    <w:p w14:paraId="19D2535D" w14:textId="77777777"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34D4D713" w14:textId="77777777" w:rsidR="00907A9B" w:rsidRDefault="003747D0">
      <w:pPr>
        <w:rPr>
          <w:color w:val="000000" w:themeColor="text1"/>
          <w:szCs w:val="16"/>
        </w:rPr>
      </w:pPr>
      <w:r w:rsidRPr="00ED172B">
        <w:rPr>
          <w:color w:val="000000" w:themeColor="text1"/>
          <w:szCs w:val="16"/>
        </w:rPr>
        <w:t>YES</w:t>
      </w:r>
    </w:p>
    <w:p w14:paraId="644BC7E5" w14:textId="77777777" w:rsidR="00887FBA" w:rsidRDefault="00887FBA">
      <w:pPr>
        <w:rPr>
          <w:b/>
          <w:color w:val="000000" w:themeColor="text1"/>
        </w:rPr>
      </w:pPr>
      <w:r w:rsidRPr="00887FBA">
        <w:rPr>
          <w:b/>
          <w:color w:val="000000" w:themeColor="text1"/>
        </w:rPr>
        <w:t>Number of Parent Members:</w:t>
      </w:r>
    </w:p>
    <w:p w14:paraId="4A408DC8" w14:textId="77777777" w:rsidR="00887FBA" w:rsidRPr="00ED172B" w:rsidRDefault="00887FBA" w:rsidP="00887FBA">
      <w:pPr>
        <w:rPr>
          <w:color w:val="000000" w:themeColor="text1"/>
          <w:szCs w:val="16"/>
        </w:rPr>
      </w:pPr>
      <w:r w:rsidRPr="00ED172B">
        <w:rPr>
          <w:color w:val="000000" w:themeColor="text1"/>
          <w:szCs w:val="16"/>
        </w:rPr>
        <w:t>10</w:t>
      </w:r>
    </w:p>
    <w:p w14:paraId="298C1995" w14:textId="77777777" w:rsidR="00887FBA" w:rsidRDefault="00887FBA">
      <w:pPr>
        <w:rPr>
          <w:b/>
          <w:color w:val="000000" w:themeColor="text1"/>
        </w:rPr>
      </w:pPr>
      <w:r w:rsidRPr="00887FBA">
        <w:rPr>
          <w:b/>
          <w:color w:val="000000" w:themeColor="text1"/>
        </w:rPr>
        <w:t>Parent Members Engagement:</w:t>
      </w:r>
    </w:p>
    <w:p w14:paraId="7EBE407E" w14:textId="77777777"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63BD1A08" w14:textId="77777777" w:rsidR="00887FBA" w:rsidRPr="00F85A5B" w:rsidRDefault="00091E9A">
      <w:pPr>
        <w:rPr>
          <w:color w:val="000000" w:themeColor="text1"/>
          <w:szCs w:val="16"/>
        </w:rPr>
      </w:pPr>
      <w:r w:rsidRPr="00ED172B">
        <w:rPr>
          <w:color w:val="000000" w:themeColor="text1"/>
          <w:szCs w:val="16"/>
        </w:rPr>
        <w:t>Family feedback and input remained a key priority for TEIS throughout the fiscal year. Families and family advocates were invited to participate in various forums, including SICC meetings, the annual teaming conference, and the HOPE Family Survey. Input was received on topics such as:</w:t>
      </w:r>
    </w:p>
    <w:p w14:paraId="689C9346" w14:textId="77777777" w:rsidR="007876EE" w:rsidRDefault="00000000">
      <w:r>
        <w:rPr>
          <w:color w:val="000000"/>
        </w:rPr>
        <w:t>-Results Monitoring</w:t>
      </w:r>
    </w:p>
    <w:p w14:paraId="59CAD39F" w14:textId="77777777" w:rsidR="007876EE" w:rsidRDefault="00000000">
      <w:r>
        <w:rPr>
          <w:color w:val="000000"/>
        </w:rPr>
        <w:t>-IFSP Teaming</w:t>
      </w:r>
    </w:p>
    <w:p w14:paraId="552569E1" w14:textId="77777777" w:rsidR="007876EE" w:rsidRDefault="00000000">
      <w:r>
        <w:rPr>
          <w:color w:val="000000"/>
        </w:rPr>
        <w:t>-Family and Child Outcomes</w:t>
      </w:r>
    </w:p>
    <w:p w14:paraId="175BC4E4" w14:textId="77777777" w:rsidR="007876EE" w:rsidRDefault="00000000">
      <w:r>
        <w:rPr>
          <w:color w:val="000000"/>
        </w:rPr>
        <w:t>-General Supervision System</w:t>
      </w:r>
    </w:p>
    <w:p w14:paraId="369D24BD" w14:textId="77777777" w:rsidR="007876EE" w:rsidRDefault="00000000">
      <w:r>
        <w:rPr>
          <w:color w:val="000000"/>
        </w:rPr>
        <w:t>-Monitoring processes</w:t>
      </w:r>
    </w:p>
    <w:p w14:paraId="45972C32" w14:textId="77777777" w:rsidR="007876EE" w:rsidRDefault="00000000">
      <w:r>
        <w:rPr>
          <w:color w:val="000000"/>
        </w:rPr>
        <w:t>-Transition</w:t>
      </w:r>
    </w:p>
    <w:p w14:paraId="53874338" w14:textId="77777777" w:rsidR="007876EE" w:rsidRDefault="007876EE"/>
    <w:p w14:paraId="072A9902" w14:textId="77777777" w:rsidR="007876EE" w:rsidRDefault="00000000">
      <w:r>
        <w:rPr>
          <w:color w:val="000000"/>
        </w:rPr>
        <w:t>Statewide Interagency Coordinating Council (SICC)</w:t>
      </w:r>
    </w:p>
    <w:p w14:paraId="083C9727" w14:textId="77777777" w:rsidR="007876EE" w:rsidRDefault="00000000">
      <w:r>
        <w:rPr>
          <w:color w:val="000000"/>
        </w:rPr>
        <w:t>Family members and advocates serve as members of the SICC and attend quarterly meetings, bringing valuable perspectives as parents of children receiving TEIS services. Meetings are open to the public, and parents interested in participating are encouraged to attend.</w:t>
      </w:r>
    </w:p>
    <w:p w14:paraId="177F7A34" w14:textId="77777777" w:rsidR="007876EE" w:rsidRDefault="007876EE"/>
    <w:p w14:paraId="107FD7DD" w14:textId="77777777" w:rsidR="007876EE" w:rsidRDefault="00000000">
      <w:r>
        <w:rPr>
          <w:color w:val="000000"/>
        </w:rPr>
        <w:t>In 2024–25, families and advocates received updates on:</w:t>
      </w:r>
    </w:p>
    <w:p w14:paraId="1388EAE4" w14:textId="77777777" w:rsidR="007876EE" w:rsidRDefault="00000000">
      <w:r>
        <w:rPr>
          <w:color w:val="000000"/>
        </w:rPr>
        <w:t>-HOPE Family Survey results and feedback</w:t>
      </w:r>
    </w:p>
    <w:p w14:paraId="06A7E9C0" w14:textId="77777777" w:rsidR="007876EE" w:rsidRDefault="00000000">
      <w:r>
        <w:rPr>
          <w:color w:val="000000"/>
        </w:rPr>
        <w:t>-Results Monitoring</w:t>
      </w:r>
    </w:p>
    <w:p w14:paraId="72BF11B6" w14:textId="77777777" w:rsidR="007876EE" w:rsidRDefault="00000000">
      <w:r>
        <w:rPr>
          <w:color w:val="000000"/>
        </w:rPr>
        <w:t>-TEIS Central Office functions</w:t>
      </w:r>
    </w:p>
    <w:p w14:paraId="27175E57" w14:textId="77777777" w:rsidR="007876EE" w:rsidRDefault="00000000">
      <w:r>
        <w:rPr>
          <w:color w:val="000000"/>
        </w:rPr>
        <w:t>-POE initiatives and regional goals</w:t>
      </w:r>
    </w:p>
    <w:p w14:paraId="468B06BF" w14:textId="77777777" w:rsidR="007876EE" w:rsidRDefault="00000000">
      <w:r>
        <w:rPr>
          <w:color w:val="000000"/>
        </w:rPr>
        <w:t>-Other program updates</w:t>
      </w:r>
    </w:p>
    <w:p w14:paraId="5E8EB0BD" w14:textId="77777777" w:rsidR="007876EE" w:rsidRDefault="007876EE"/>
    <w:p w14:paraId="231F3D52" w14:textId="77777777" w:rsidR="007876EE" w:rsidRDefault="00000000">
      <w:r>
        <w:rPr>
          <w:color w:val="000000"/>
        </w:rPr>
        <w:t>Additionally, SICC members provided direct feedback to OSEP during Tennessee’s DMS 2.0 audit.</w:t>
      </w:r>
    </w:p>
    <w:p w14:paraId="00803388" w14:textId="77777777" w:rsidR="007876EE" w:rsidRDefault="007876EE"/>
    <w:p w14:paraId="5145997C" w14:textId="77777777" w:rsidR="007876EE" w:rsidRDefault="00000000">
      <w:r>
        <w:rPr>
          <w:color w:val="000000"/>
        </w:rPr>
        <w:t>Informational Materials</w:t>
      </w:r>
    </w:p>
    <w:p w14:paraId="761E02E9" w14:textId="77777777" w:rsidR="007876EE" w:rsidRDefault="00000000">
      <w:r>
        <w:rPr>
          <w:color w:val="000000"/>
        </w:rPr>
        <w:t>TEIS continued collaborating with family advocacy agencies to develop resources that help families understand options after their child turns three. These materials are distributed through:</w:t>
      </w:r>
    </w:p>
    <w:p w14:paraId="78629A47" w14:textId="77777777" w:rsidR="007876EE" w:rsidRDefault="00000000">
      <w:r>
        <w:rPr>
          <w:color w:val="000000"/>
        </w:rPr>
        <w:t>-Service Coordinators</w:t>
      </w:r>
    </w:p>
    <w:p w14:paraId="79C59CE3" w14:textId="77777777" w:rsidR="007876EE" w:rsidRDefault="00000000">
      <w:r>
        <w:rPr>
          <w:color w:val="000000"/>
        </w:rPr>
        <w:t>-Department newsletters</w:t>
      </w:r>
    </w:p>
    <w:p w14:paraId="2D209D7D" w14:textId="77777777" w:rsidR="007876EE" w:rsidRDefault="00000000">
      <w:r>
        <w:rPr>
          <w:color w:val="000000"/>
        </w:rPr>
        <w:t>-The TEIS website</w:t>
      </w:r>
    </w:p>
    <w:p w14:paraId="574682F9" w14:textId="77777777" w:rsidR="007876EE" w:rsidRDefault="007876EE"/>
    <w:p w14:paraId="471B7DFF" w14:textId="77777777" w:rsidR="007876EE" w:rsidRDefault="00000000">
      <w:r>
        <w:rPr>
          <w:color w:val="000000"/>
        </w:rPr>
        <w:t>Regional Teaming Events</w:t>
      </w:r>
    </w:p>
    <w:p w14:paraId="04BD7CED" w14:textId="77777777" w:rsidR="007876EE" w:rsidRDefault="00000000">
      <w:r>
        <w:rPr>
          <w:color w:val="000000"/>
        </w:rPr>
        <w:t>Families and advocates participated in the West Time for Teaming event in Memphis, Tennessee. This event fosters collaboration among TEIS staff, early intervention providers, vendors, and parents. Families shared personal early intervention experiences, some of which led them to careers in the field.</w:t>
      </w:r>
    </w:p>
    <w:p w14:paraId="746E490A" w14:textId="77777777" w:rsidR="007876EE" w:rsidRDefault="007876EE"/>
    <w:p w14:paraId="45F506A2" w14:textId="77777777" w:rsidR="007876EE" w:rsidRDefault="00000000">
      <w:r>
        <w:rPr>
          <w:color w:val="000000"/>
        </w:rPr>
        <w:t>Upcoming events:</w:t>
      </w:r>
    </w:p>
    <w:p w14:paraId="640C5462" w14:textId="77777777" w:rsidR="007876EE" w:rsidRDefault="00000000">
      <w:r>
        <w:rPr>
          <w:color w:val="000000"/>
        </w:rPr>
        <w:t>-Middle Region: November 2025</w:t>
      </w:r>
    </w:p>
    <w:p w14:paraId="480E2425" w14:textId="77777777" w:rsidR="007876EE" w:rsidRDefault="00000000">
      <w:r>
        <w:rPr>
          <w:color w:val="000000"/>
        </w:rPr>
        <w:t>-East Region: May 2026</w:t>
      </w:r>
    </w:p>
    <w:p w14:paraId="618D7289" w14:textId="77777777" w:rsidR="007876EE" w:rsidRDefault="007876EE"/>
    <w:p w14:paraId="0A6FDC79" w14:textId="77777777" w:rsidR="007876EE" w:rsidRDefault="00000000">
      <w:r>
        <w:rPr>
          <w:color w:val="000000"/>
        </w:rPr>
        <w:lastRenderedPageBreak/>
        <w:t>HOPE Family Survey</w:t>
      </w:r>
    </w:p>
    <w:p w14:paraId="0069B440" w14:textId="77777777" w:rsidR="007876EE" w:rsidRDefault="00000000">
      <w:r>
        <w:rPr>
          <w:color w:val="000000"/>
        </w:rPr>
        <w:t>Family outcome measures are collected annually through the HOPE Family Survey, administered statewide to families receiving TEIS services for at least six months. Over 90% of families responded in 2024-25.</w:t>
      </w:r>
    </w:p>
    <w:p w14:paraId="7234A7C1" w14:textId="77777777" w:rsidR="007876EE" w:rsidRDefault="007876EE"/>
    <w:p w14:paraId="69149345" w14:textId="77777777" w:rsidR="007876EE" w:rsidRDefault="00000000">
      <w:r>
        <w:rPr>
          <w:color w:val="000000"/>
        </w:rPr>
        <w:t>Survey comments undergo in-depth qualitative analysis, providing actionable insights for program improvements. As reported in Indicator 4 (Family Outcomes), TEIS continues to enhance data collection to increase response rates and ensure all families have a voice.</w:t>
      </w:r>
    </w:p>
    <w:p w14:paraId="5562A58B"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4475996A" w14:textId="77777777"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6E8B6221" w14:textId="77777777" w:rsidR="00375DCE" w:rsidRDefault="002D7C09" w:rsidP="00375DCE">
      <w:pPr>
        <w:rPr>
          <w:color w:val="000000" w:themeColor="text1"/>
          <w:szCs w:val="16"/>
        </w:rPr>
      </w:pPr>
      <w:r w:rsidRPr="00ED172B">
        <w:rPr>
          <w:color w:val="000000" w:themeColor="text1"/>
          <w:szCs w:val="16"/>
        </w:rPr>
        <w:t>TEIS works to improve outcomes for children with disabilities through multiple strategies, including activities outlined in Indicator 11 (State Systemic Improvement Plan), family training and outreach sessions offered by TEIS and its partners, and comprehensive monitoring efforts. These initiatives aim to remove barriers to family engagement in early intervention services by ensuring seamless eligibility procedures, increasing referrals, and improving the percentage of referrals that result in IFSPs.</w:t>
      </w:r>
    </w:p>
    <w:p w14:paraId="74407808" w14:textId="77777777" w:rsidR="007876EE" w:rsidRDefault="007876EE"/>
    <w:p w14:paraId="6849C869" w14:textId="77777777" w:rsidR="007876EE" w:rsidRDefault="00000000">
      <w:r>
        <w:rPr>
          <w:color w:val="000000"/>
        </w:rPr>
        <w:t>Family Outcomes Data</w:t>
      </w:r>
    </w:p>
    <w:p w14:paraId="719A4792" w14:textId="77777777" w:rsidR="007876EE" w:rsidRDefault="00000000">
      <w:r>
        <w:rPr>
          <w:color w:val="000000"/>
        </w:rPr>
        <w:t>During this cycle, TEIS prioritized improving the collection of family outcomes data to:</w:t>
      </w:r>
    </w:p>
    <w:p w14:paraId="46B8ADAA" w14:textId="77777777" w:rsidR="007876EE" w:rsidRDefault="00000000">
      <w:r>
        <w:rPr>
          <w:color w:val="000000"/>
        </w:rPr>
        <w:t>-Increase response rates.</w:t>
      </w:r>
    </w:p>
    <w:p w14:paraId="35EB35E4" w14:textId="77777777" w:rsidR="007876EE" w:rsidRDefault="00000000">
      <w:r>
        <w:rPr>
          <w:color w:val="000000"/>
        </w:rPr>
        <w:t>-Ensure responses represent all families served.</w:t>
      </w:r>
    </w:p>
    <w:p w14:paraId="1B7F2B38" w14:textId="77777777" w:rsidR="007876EE" w:rsidRDefault="00000000">
      <w:r>
        <w:rPr>
          <w:color w:val="000000"/>
        </w:rPr>
        <w:t>-Provide every family an opportunity to share their voice.</w:t>
      </w:r>
    </w:p>
    <w:p w14:paraId="78A9D071" w14:textId="77777777" w:rsidR="007876EE" w:rsidRDefault="00000000">
      <w:r>
        <w:rPr>
          <w:color w:val="000000"/>
        </w:rPr>
        <w:t xml:space="preserve">-Conducting a comprehensive analysis of the data, including the comments and utilizing the feedback provided by families for programmatic improvement. </w:t>
      </w:r>
    </w:p>
    <w:p w14:paraId="25AE7BBC" w14:textId="77777777" w:rsidR="007876EE" w:rsidRDefault="007876EE"/>
    <w:p w14:paraId="31CD985D" w14:textId="77777777" w:rsidR="007876EE" w:rsidRDefault="00000000">
      <w:r>
        <w:rPr>
          <w:color w:val="000000"/>
        </w:rPr>
        <w:t>Family-Centered, Evidence-Based Practices</w:t>
      </w:r>
    </w:p>
    <w:p w14:paraId="375B030C" w14:textId="77777777" w:rsidR="007876EE" w:rsidRDefault="00000000">
      <w:r>
        <w:rPr>
          <w:color w:val="000000"/>
        </w:rPr>
        <w:t>As detailed in the Professional Development and Technical Assistance sections and Indicator 11, TEIS continues implementing family-centered, evidence-based practices that strengthen caregiver competence and confidence in supporting their child.</w:t>
      </w:r>
    </w:p>
    <w:p w14:paraId="3990C657" w14:textId="77777777" w:rsidR="007876EE" w:rsidRDefault="007876EE"/>
    <w:p w14:paraId="0215CF6D" w14:textId="77777777" w:rsidR="007876EE" w:rsidRDefault="00000000">
      <w:r>
        <w:rPr>
          <w:color w:val="000000"/>
        </w:rPr>
        <w:t>Professional development, technical assistance, and training opportunities are offered year-round to Early Intervention Resource Agencies (EIRAs) and TEIS Points of Entry (POEs). In 2024–25, specific training sessions were offered for families. Other sessions of interest to families were open to a mixed audience of parents and professionals.</w:t>
      </w:r>
    </w:p>
    <w:p w14:paraId="19C33795" w14:textId="77777777" w:rsidR="007876EE" w:rsidRDefault="007876EE"/>
    <w:p w14:paraId="7137FE55" w14:textId="77777777" w:rsidR="007876EE" w:rsidRDefault="00000000">
      <w:r>
        <w:rPr>
          <w:color w:val="000000"/>
        </w:rPr>
        <w:t>Family Resources</w:t>
      </w:r>
    </w:p>
    <w:p w14:paraId="0C25045C" w14:textId="77777777" w:rsidR="007876EE" w:rsidRDefault="00000000">
      <w:r>
        <w:rPr>
          <w:color w:val="000000"/>
        </w:rPr>
        <w:t>The TEIS website includes a robust Community Resources section with:</w:t>
      </w:r>
    </w:p>
    <w:p w14:paraId="0324EC1B" w14:textId="77777777" w:rsidR="007876EE" w:rsidRDefault="00000000">
      <w:r>
        <w:rPr>
          <w:color w:val="000000"/>
        </w:rPr>
        <w:t>-Family Resources: Links to training and informational materials for families.</w:t>
      </w:r>
    </w:p>
    <w:p w14:paraId="3A828181" w14:textId="77777777" w:rsidR="007876EE" w:rsidRDefault="00000000">
      <w:r>
        <w:rPr>
          <w:color w:val="000000"/>
        </w:rPr>
        <w:t>-Community/Provider Resources: Tools and guidance for early intervention professionals.</w:t>
      </w:r>
    </w:p>
    <w:p w14:paraId="3BAF0676" w14:textId="77777777" w:rsidR="007876EE" w:rsidRDefault="007876EE"/>
    <w:p w14:paraId="4497AA1E" w14:textId="77777777" w:rsidR="007876EE" w:rsidRDefault="00000000">
      <w:r>
        <w:rPr>
          <w:color w:val="000000"/>
        </w:rPr>
        <w:t>Results Monitoring</w:t>
      </w:r>
    </w:p>
    <w:p w14:paraId="09662528" w14:textId="77777777" w:rsidR="007876EE" w:rsidRDefault="00000000">
      <w:r>
        <w:rPr>
          <w:color w:val="000000"/>
        </w:rPr>
        <w:t>TEIS’s Results Monitoring program directly impacts outcomes for children and families. Using real-time data, the IDEA Implementation Team works with POEs to:</w:t>
      </w:r>
    </w:p>
    <w:p w14:paraId="2EAC245B" w14:textId="77777777" w:rsidR="007876EE" w:rsidRDefault="00000000">
      <w:r>
        <w:rPr>
          <w:color w:val="000000"/>
        </w:rPr>
        <w:t>-Analyze data.</w:t>
      </w:r>
    </w:p>
    <w:p w14:paraId="1CFB9313" w14:textId="77777777" w:rsidR="007876EE" w:rsidRDefault="00000000">
      <w:r>
        <w:rPr>
          <w:color w:val="000000"/>
        </w:rPr>
        <w:t>-Investigate flagged areas.</w:t>
      </w:r>
    </w:p>
    <w:p w14:paraId="7A45F579" w14:textId="77777777" w:rsidR="007876EE" w:rsidRDefault="00000000">
      <w:r>
        <w:rPr>
          <w:color w:val="000000"/>
        </w:rPr>
        <w:t>-Develop improvement plans.</w:t>
      </w:r>
    </w:p>
    <w:p w14:paraId="68E71E49" w14:textId="77777777" w:rsidR="007876EE" w:rsidRDefault="007876EE"/>
    <w:p w14:paraId="0581D620" w14:textId="77777777" w:rsidR="007876EE" w:rsidRDefault="00000000">
      <w:r>
        <w:rPr>
          <w:color w:val="000000"/>
        </w:rPr>
        <w:t>In 2024–25, results monitoring focused on child find and family outcomes.</w:t>
      </w:r>
    </w:p>
    <w:p w14:paraId="610049E9" w14:textId="77777777" w:rsidR="006D0CD0" w:rsidRPr="00F85A5B" w:rsidRDefault="006D0CD0" w:rsidP="006D0CD0">
      <w:pPr>
        <w:rPr>
          <w:b/>
          <w:color w:val="000000" w:themeColor="text1"/>
        </w:rPr>
      </w:pPr>
      <w:r w:rsidRPr="00F85A5B">
        <w:rPr>
          <w:b/>
          <w:color w:val="000000" w:themeColor="text1"/>
        </w:rPr>
        <w:t>Soliciting Public Input:</w:t>
      </w:r>
    </w:p>
    <w:p w14:paraId="63206A00" w14:textId="77777777"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6D8F7397" w14:textId="77777777" w:rsidR="006D0CD0" w:rsidRDefault="006D0CD0" w:rsidP="006D0CD0">
      <w:pPr>
        <w:rPr>
          <w:color w:val="000000" w:themeColor="text1"/>
          <w:szCs w:val="16"/>
        </w:rPr>
      </w:pPr>
      <w:r w:rsidRPr="00ED172B">
        <w:rPr>
          <w:color w:val="000000" w:themeColor="text1"/>
          <w:szCs w:val="16"/>
        </w:rPr>
        <w:t>Public input is always welcome, and the Department shares news and updates regularly through multiple channels, including:</w:t>
      </w:r>
    </w:p>
    <w:p w14:paraId="33524FC8" w14:textId="77777777" w:rsidR="007876EE" w:rsidRDefault="00000000">
      <w:r>
        <w:rPr>
          <w:color w:val="000000"/>
        </w:rPr>
        <w:t>-Newsletters</w:t>
      </w:r>
    </w:p>
    <w:p w14:paraId="77CB8318" w14:textId="77777777" w:rsidR="007876EE" w:rsidRDefault="00000000">
      <w:r>
        <w:rPr>
          <w:color w:val="000000"/>
        </w:rPr>
        <w:t>-Website</w:t>
      </w:r>
    </w:p>
    <w:p w14:paraId="55712EF2" w14:textId="77777777" w:rsidR="007876EE" w:rsidRDefault="00000000">
      <w:r>
        <w:rPr>
          <w:color w:val="000000"/>
        </w:rPr>
        <w:t>-Social media</w:t>
      </w:r>
    </w:p>
    <w:p w14:paraId="7222E43C" w14:textId="77777777" w:rsidR="007876EE" w:rsidRDefault="00000000">
      <w:r>
        <w:rPr>
          <w:color w:val="000000"/>
        </w:rPr>
        <w:t>-Scheduled virtual and in-person meetings</w:t>
      </w:r>
    </w:p>
    <w:p w14:paraId="3F9AC855" w14:textId="77777777" w:rsidR="007876EE" w:rsidRDefault="00000000">
      <w:r>
        <w:rPr>
          <w:color w:val="000000"/>
        </w:rPr>
        <w:t>-Topic-specific forums</w:t>
      </w:r>
    </w:p>
    <w:p w14:paraId="30044C82" w14:textId="77777777" w:rsidR="007876EE" w:rsidRDefault="007876EE"/>
    <w:p w14:paraId="2FF7D2B9" w14:textId="77777777" w:rsidR="007876EE" w:rsidRDefault="00000000">
      <w:r>
        <w:rPr>
          <w:color w:val="000000"/>
        </w:rPr>
        <w:t>The Department’s communications team and executive leadership also partner with advocacy groups to gather concerns and feedback from as many stakeholders as possible.</w:t>
      </w:r>
    </w:p>
    <w:p w14:paraId="515BBF39" w14:textId="77777777" w:rsidR="007876EE" w:rsidRDefault="007876EE"/>
    <w:p w14:paraId="47C3DA81" w14:textId="77777777" w:rsidR="007876EE" w:rsidRDefault="00000000">
      <w:r>
        <w:rPr>
          <w:color w:val="000000"/>
        </w:rPr>
        <w:t>Transparency and Access</w:t>
      </w:r>
    </w:p>
    <w:p w14:paraId="3FA256D0" w14:textId="77777777" w:rsidR="007876EE" w:rsidRDefault="007876EE"/>
    <w:p w14:paraId="51E93C22" w14:textId="77777777" w:rsidR="007876EE" w:rsidRDefault="00000000">
      <w:r>
        <w:rPr>
          <w:color w:val="000000"/>
        </w:rPr>
        <w:t>SICC Meetings: TEIS’s State Interagency Coordinating Council (SICC) meetings are publicly posted and open to the public. Members of the public are encouraged to submit agenda topics via the TEIS website.</w:t>
      </w:r>
    </w:p>
    <w:p w14:paraId="7BB4C4A2" w14:textId="77777777" w:rsidR="007876EE" w:rsidRDefault="007876EE"/>
    <w:p w14:paraId="60E86459" w14:textId="77777777" w:rsidR="007876EE" w:rsidRDefault="00000000">
      <w:r>
        <w:rPr>
          <w:color w:val="000000"/>
        </w:rPr>
        <w:t>Advisory Council Information: Meeting minutes and council vacancies are also posted publicly.</w:t>
      </w:r>
    </w:p>
    <w:p w14:paraId="4E5EA0F1" w14:textId="77777777" w:rsidR="007876EE" w:rsidRDefault="007876EE"/>
    <w:p w14:paraId="1F512BFF" w14:textId="77777777" w:rsidR="007876EE" w:rsidRDefault="00000000">
      <w:r>
        <w:rPr>
          <w:color w:val="000000"/>
        </w:rPr>
        <w:t>Data Review: Program data is reviewed and discussed at each SICC meeting, with the Annual Performance Report highlighted during the January meeting.</w:t>
      </w:r>
    </w:p>
    <w:p w14:paraId="0811A570" w14:textId="77777777" w:rsidR="00583FAD" w:rsidRPr="00F85A5B" w:rsidRDefault="00583FAD" w:rsidP="00583FAD">
      <w:pPr>
        <w:rPr>
          <w:b/>
          <w:color w:val="000000" w:themeColor="text1"/>
        </w:rPr>
      </w:pPr>
      <w:r w:rsidRPr="00F85A5B">
        <w:rPr>
          <w:b/>
          <w:color w:val="000000" w:themeColor="text1"/>
        </w:rPr>
        <w:t>Making Results Available to the Public:</w:t>
      </w:r>
    </w:p>
    <w:p w14:paraId="28047E53" w14:textId="77777777" w:rsidR="00583FAD" w:rsidRDefault="00583FAD" w:rsidP="00583FAD">
      <w:pPr>
        <w:rPr>
          <w:b/>
          <w:color w:val="000000" w:themeColor="text1"/>
        </w:rPr>
      </w:pPr>
      <w:r w:rsidRPr="00F85A5B">
        <w:rPr>
          <w:b/>
          <w:color w:val="000000" w:themeColor="text1"/>
        </w:rPr>
        <w:t xml:space="preserve">The mechanisms and timelines for making the results of the setting targets, data analysis, development of </w:t>
      </w:r>
      <w:proofErr w:type="gramStart"/>
      <w:r w:rsidRPr="00F85A5B">
        <w:rPr>
          <w:b/>
          <w:color w:val="000000" w:themeColor="text1"/>
        </w:rPr>
        <w:t>the improvement</w:t>
      </w:r>
      <w:proofErr w:type="gramEnd"/>
      <w:r w:rsidRPr="00F85A5B">
        <w:rPr>
          <w:b/>
          <w:color w:val="000000" w:themeColor="text1"/>
        </w:rPr>
        <w:t xml:space="preserve"> strategies, and evaluation available to the public.</w:t>
      </w:r>
    </w:p>
    <w:p w14:paraId="4F6EF850" w14:textId="77777777" w:rsidR="00583FAD" w:rsidRDefault="00583FAD" w:rsidP="00583FAD">
      <w:pPr>
        <w:rPr>
          <w:color w:val="000000" w:themeColor="text1"/>
          <w:szCs w:val="16"/>
        </w:rPr>
      </w:pPr>
      <w:r w:rsidRPr="00ED172B">
        <w:rPr>
          <w:color w:val="000000" w:themeColor="text1"/>
          <w:szCs w:val="16"/>
        </w:rPr>
        <w:t xml:space="preserve">The draft Annual Performance Report (APR), including Indicator 11 (State Systemic Improvement Plan), was reviewed by TEIS executive leadership and the SICC Chairperson in January 2026 prior to its presentation to the State Interagency Coordinating Council (SICC). </w:t>
      </w:r>
    </w:p>
    <w:p w14:paraId="6F38FDCF" w14:textId="77777777" w:rsidR="007876EE" w:rsidRDefault="007876EE"/>
    <w:p w14:paraId="786DEBDA" w14:textId="77777777" w:rsidR="007876EE" w:rsidRDefault="00000000">
      <w:r>
        <w:rPr>
          <w:color w:val="000000"/>
        </w:rPr>
        <w:t>The APR was then presented to SICC members and attendees, including TEIS district office leadership, early intervention service providers, advocates, and other stakeholders. During the presentation, participants were given the opportunity to ask questions and provide feedback.</w:t>
      </w:r>
    </w:p>
    <w:p w14:paraId="2BFDFB90" w14:textId="77777777" w:rsidR="00181DEB" w:rsidRPr="00ED172B" w:rsidRDefault="00181DEB">
      <w:pPr>
        <w:rPr>
          <w:b/>
          <w:color w:val="000000" w:themeColor="text1"/>
        </w:rPr>
      </w:pPr>
      <w:r w:rsidRPr="00ED172B">
        <w:rPr>
          <w:b/>
          <w:color w:val="000000" w:themeColor="text1"/>
        </w:rPr>
        <w:t>Reporting to the Public:</w:t>
      </w:r>
    </w:p>
    <w:p w14:paraId="49A89668" w14:textId="77777777"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2023 performance of each EIS Program located in the State on the targets in the SPP/APR as soon as practicable, but no later than 120 days following the State’s submission of its FFY 2023 APR, as required by 34 CFR §303.702(b)(1)(</w:t>
      </w:r>
      <w:proofErr w:type="spellStart"/>
      <w:r w:rsidRPr="00ED172B">
        <w:rPr>
          <w:b/>
          <w:color w:val="000000" w:themeColor="text1"/>
          <w:szCs w:val="16"/>
        </w:rPr>
        <w:t>i</w:t>
      </w:r>
      <w:proofErr w:type="spellEnd"/>
      <w:r w:rsidRPr="00ED172B">
        <w:rPr>
          <w:b/>
          <w:color w:val="000000" w:themeColor="text1"/>
          <w:szCs w:val="16"/>
        </w:rPr>
        <w:t>)(A); and a description of where, on its website, a complete copy of the State’s SPP/APR, including any revisions if the State has revised the targets that it submitted with its FFY 2023 APR in 2025, is available.</w:t>
      </w:r>
    </w:p>
    <w:p w14:paraId="639EFE7A" w14:textId="77777777" w:rsidR="003A4D77" w:rsidRPr="00ED172B" w:rsidRDefault="00860830" w:rsidP="00DF09CC">
      <w:pPr>
        <w:rPr>
          <w:color w:val="000000" w:themeColor="text1"/>
          <w:szCs w:val="16"/>
        </w:rPr>
      </w:pPr>
      <w:r w:rsidRPr="00ED172B">
        <w:rPr>
          <w:color w:val="000000" w:themeColor="text1"/>
          <w:szCs w:val="16"/>
        </w:rPr>
        <w:t>TEIS completed federal reporting requirements for the performance of each EIS program (the nine TEIS POEs) compared to the state’s SPP/APR targets. The report, titled Report to the Public, was posted on the state’s website within the required timeline—no later than 120 days after the state submitted the APR on February 1.</w:t>
      </w:r>
    </w:p>
    <w:p w14:paraId="65958155" w14:textId="77777777" w:rsidR="007876EE" w:rsidRDefault="007876EE"/>
    <w:p w14:paraId="338F931D" w14:textId="77777777" w:rsidR="007876EE" w:rsidRDefault="00000000">
      <w:r>
        <w:rPr>
          <w:color w:val="000000"/>
        </w:rPr>
        <w:t xml:space="preserve">The state’s Annual Performance Report (APR) was also posted at the same location after the federal clarification period closed. An email notification with the website link was sent to Tennessee’s Part C OSEP contact and TEIS POE leadership. </w:t>
      </w:r>
      <w:proofErr w:type="gramStart"/>
      <w:r>
        <w:rPr>
          <w:color w:val="000000"/>
        </w:rPr>
        <w:t>The June</w:t>
      </w:r>
      <w:proofErr w:type="gramEnd"/>
      <w:r>
        <w:rPr>
          <w:color w:val="000000"/>
        </w:rPr>
        <w:t xml:space="preserve"> 1, </w:t>
      </w:r>
      <w:proofErr w:type="gramStart"/>
      <w:r>
        <w:rPr>
          <w:color w:val="000000"/>
        </w:rPr>
        <w:t>2025</w:t>
      </w:r>
      <w:proofErr w:type="gramEnd"/>
      <w:r>
        <w:rPr>
          <w:color w:val="000000"/>
        </w:rPr>
        <w:t xml:space="preserve"> edition of the TRI-Starts newsletter included a public announcement about the availability of the public reports. </w:t>
      </w:r>
    </w:p>
    <w:p w14:paraId="260B9554" w14:textId="77777777" w:rsidR="007876EE" w:rsidRDefault="007876EE"/>
    <w:p w14:paraId="256C9088" w14:textId="77777777" w:rsidR="007876EE" w:rsidRDefault="00000000">
      <w:r>
        <w:rPr>
          <w:color w:val="000000"/>
        </w:rPr>
        <w:t>Stakeholder Communication</w:t>
      </w:r>
    </w:p>
    <w:p w14:paraId="50F18327" w14:textId="77777777" w:rsidR="007876EE" w:rsidRDefault="00000000">
      <w:r>
        <w:rPr>
          <w:color w:val="000000"/>
        </w:rPr>
        <w:t>TEIS uses its bi-monthly newsletter, TRI-Starts, as a communication tool to:</w:t>
      </w:r>
    </w:p>
    <w:p w14:paraId="5C414F86" w14:textId="77777777" w:rsidR="007876EE" w:rsidRDefault="00000000">
      <w:r>
        <w:rPr>
          <w:color w:val="000000"/>
        </w:rPr>
        <w:t>-Announce when federal reports are posted online.</w:t>
      </w:r>
    </w:p>
    <w:p w14:paraId="5094B825" w14:textId="77777777" w:rsidR="007876EE" w:rsidRDefault="00000000">
      <w:r>
        <w:rPr>
          <w:color w:val="000000"/>
        </w:rPr>
        <w:t>-Share learning opportunities and program updates.</w:t>
      </w:r>
    </w:p>
    <w:p w14:paraId="746955EE" w14:textId="77777777" w:rsidR="007876EE" w:rsidRDefault="00000000">
      <w:r>
        <w:rPr>
          <w:color w:val="000000"/>
        </w:rPr>
        <w:t>-Highlight family, agency, and staff spotlights.</w:t>
      </w:r>
    </w:p>
    <w:p w14:paraId="08127A49" w14:textId="77777777" w:rsidR="007876EE" w:rsidRDefault="00000000">
      <w:r>
        <w:rPr>
          <w:color w:val="000000"/>
        </w:rPr>
        <w:t>-Provide information on upcoming meetings (e.g., service providers, SICC, Advisory Councils).</w:t>
      </w:r>
    </w:p>
    <w:p w14:paraId="47E9E882" w14:textId="77777777" w:rsidR="007876EE" w:rsidRDefault="00000000">
      <w:r>
        <w:rPr>
          <w:color w:val="000000"/>
        </w:rPr>
        <w:t>-Advertise TEIS employment opportunities.</w:t>
      </w:r>
    </w:p>
    <w:p w14:paraId="7389A096" w14:textId="77777777" w:rsidR="007876EE" w:rsidRDefault="007876EE"/>
    <w:p w14:paraId="01E280C6" w14:textId="77777777" w:rsidR="007876EE" w:rsidRDefault="00000000">
      <w:r>
        <w:rPr>
          <w:color w:val="000000"/>
        </w:rPr>
        <w:t>Public Access to Reports</w:t>
      </w:r>
    </w:p>
    <w:p w14:paraId="6972DD28" w14:textId="77777777" w:rsidR="007876EE" w:rsidRDefault="00000000">
      <w:r>
        <w:rPr>
          <w:color w:val="000000"/>
        </w:rPr>
        <w:t>The following reports are available on the Lead Agency's website under “TEIS Reports &amp; Data” at https://www.tn.gov/disability-and-aging/about-us/reports.html:</w:t>
      </w:r>
    </w:p>
    <w:p w14:paraId="769B2E55" w14:textId="77777777" w:rsidR="007876EE" w:rsidRDefault="00000000">
      <w:r>
        <w:rPr>
          <w:color w:val="000000"/>
        </w:rPr>
        <w:t>-2025 Annual Report to the Public (FY 2023–24 data)</w:t>
      </w:r>
    </w:p>
    <w:p w14:paraId="3A4D6BD0" w14:textId="77777777" w:rsidR="007876EE" w:rsidRDefault="00000000">
      <w:r>
        <w:rPr>
          <w:color w:val="000000"/>
        </w:rPr>
        <w:t>-2023–24 Annual Performance Report</w:t>
      </w:r>
    </w:p>
    <w:p w14:paraId="472DEAFF" w14:textId="77777777" w:rsidR="007876EE" w:rsidRDefault="00000000">
      <w:r>
        <w:rPr>
          <w:color w:val="000000"/>
        </w:rPr>
        <w:t>-State Systemic Improvement Plan (SSIP)/APR Indicator 11</w:t>
      </w:r>
    </w:p>
    <w:p w14:paraId="479D09B6" w14:textId="77777777" w:rsidR="003A4D77" w:rsidRPr="00A40EE1" w:rsidRDefault="00571E72" w:rsidP="00C15786">
      <w:pPr>
        <w:pStyle w:val="Heading2"/>
      </w:pPr>
      <w:r w:rsidRPr="00A40EE1">
        <w:t xml:space="preserve">Intro - </w:t>
      </w:r>
      <w:r w:rsidR="003A4D77" w:rsidRPr="00A40EE1">
        <w:t xml:space="preserve">Prior FFY Required Actions </w:t>
      </w:r>
    </w:p>
    <w:p w14:paraId="6E8A531F" w14:textId="77777777" w:rsidR="003A4D77" w:rsidRPr="00ED172B" w:rsidRDefault="00027F39" w:rsidP="00027F39">
      <w:pPr>
        <w:rPr>
          <w:color w:val="000000" w:themeColor="text1"/>
        </w:rPr>
      </w:pPr>
      <w:r w:rsidRPr="00ED172B">
        <w:rPr>
          <w:color w:val="000000" w:themeColor="text1"/>
        </w:rPr>
        <w:t>None</w:t>
      </w:r>
    </w:p>
    <w:p w14:paraId="4BA3BB74" w14:textId="77777777" w:rsidR="005A43C0" w:rsidRPr="00ED172B" w:rsidRDefault="005A43C0" w:rsidP="003A4D77">
      <w:pPr>
        <w:rPr>
          <w:rFonts w:cs="Arial"/>
          <w:color w:val="000000" w:themeColor="text1"/>
          <w:szCs w:val="16"/>
        </w:rPr>
      </w:pPr>
    </w:p>
    <w:p w14:paraId="635B4042" w14:textId="77777777" w:rsidR="003A4D77" w:rsidRPr="00A40EE1" w:rsidRDefault="00571E72" w:rsidP="00C15786">
      <w:pPr>
        <w:pStyle w:val="Heading2"/>
      </w:pPr>
      <w:r w:rsidRPr="00A40EE1">
        <w:t>Intro - OSEP Response</w:t>
      </w:r>
    </w:p>
    <w:p w14:paraId="3EBD0C21" w14:textId="77777777" w:rsidR="003A4D77" w:rsidRPr="00ED172B" w:rsidRDefault="00027F39" w:rsidP="00027F39">
      <w:pPr>
        <w:rPr>
          <w:color w:val="000000" w:themeColor="text1"/>
        </w:rPr>
      </w:pPr>
      <w:r w:rsidRPr="00ED172B">
        <w:rPr>
          <w:color w:val="000000" w:themeColor="text1"/>
        </w:rPr>
        <w:t>The State attached its signed 2026 Annual Report Certification of the State Interagency Coordinating Council (SICC) Form. However, OSEP notes that the SICC Form was incomplete. Specifically, the SICC Form did not indicate the State/jurisdiction to which the certification applies. </w:t>
      </w:r>
    </w:p>
    <w:p w14:paraId="758713E5" w14:textId="77777777" w:rsidR="007876EE" w:rsidRDefault="007876EE"/>
    <w:p w14:paraId="5A132416" w14:textId="77777777" w:rsidR="007876EE" w:rsidRDefault="00000000">
      <w:r>
        <w:rPr>
          <w:color w:val="000000"/>
        </w:rPr>
        <w:t>OSEP notes that in its description of how it makes annual determinations of EIS program performance, the State did not include all the factors that must be considered when making annual determinations, consistent with OSEP's QA 23-01. Specifically, the State did not include other data available to the State about the EIS program's compliance with IDEA, including any relevant audit findings in its description of the criteria the State uses to make annual determinations. OSEP may follow up with the State rega</w:t>
      </w:r>
      <w:r>
        <w:rPr>
          <w:color w:val="000000"/>
        </w:rPr>
        <w:t>rding how it makes annual determinations of EIS program performance outside of the SPP/APR process.</w:t>
      </w:r>
    </w:p>
    <w:p w14:paraId="2B5C4F6A" w14:textId="77777777" w:rsidR="003A4D77" w:rsidRPr="00A40EE1" w:rsidRDefault="00571E72" w:rsidP="00C15786">
      <w:pPr>
        <w:pStyle w:val="Heading2"/>
      </w:pPr>
      <w:r w:rsidRPr="00A40EE1">
        <w:t>Intro - Required Actions</w:t>
      </w:r>
    </w:p>
    <w:p w14:paraId="0F5F4CCF" w14:textId="77777777" w:rsidR="003A4D77" w:rsidRPr="00ED172B" w:rsidRDefault="003A4D77" w:rsidP="00027F39">
      <w:pPr>
        <w:rPr>
          <w:color w:val="000000" w:themeColor="text1"/>
        </w:rPr>
      </w:pPr>
    </w:p>
    <w:p w14:paraId="5612569F"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1891FF29" w14:textId="77777777"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33F682DD" w14:textId="77777777"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13073041"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15D2EA88" w14:textId="77777777"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77C30BB" w14:textId="77777777" w:rsidR="00DF09CC" w:rsidRPr="00ED172B" w:rsidRDefault="00DF09CC">
      <w:pPr>
        <w:rPr>
          <w:b/>
          <w:color w:val="000000" w:themeColor="text1"/>
        </w:rPr>
      </w:pPr>
      <w:r w:rsidRPr="00ED172B">
        <w:rPr>
          <w:b/>
          <w:color w:val="000000" w:themeColor="text1"/>
        </w:rPr>
        <w:t>Data Source</w:t>
      </w:r>
    </w:p>
    <w:p w14:paraId="52666128" w14:textId="77777777" w:rsidR="00DF09CC" w:rsidRPr="00ED172B" w:rsidRDefault="00A86E16" w:rsidP="0077063D">
      <w:pPr>
        <w:rPr>
          <w:color w:val="000000" w:themeColor="text1"/>
          <w:szCs w:val="16"/>
        </w:rPr>
      </w:pPr>
      <w:r w:rsidRPr="00ED172B">
        <w:rPr>
          <w:color w:val="000000" w:themeColor="text1"/>
          <w:szCs w:val="16"/>
        </w:rPr>
        <w:t xml:space="preserve">Data to be taken from monitoring or State data system and must be based on actual, not an average, number of days. Include the State’s criteria for “timely” receipt of early intervention services (i.e., the </w:t>
      </w:r>
      <w:proofErr w:type="gramStart"/>
      <w:r w:rsidRPr="00ED172B">
        <w:rPr>
          <w:color w:val="000000" w:themeColor="text1"/>
          <w:szCs w:val="16"/>
        </w:rPr>
        <w:t>time period</w:t>
      </w:r>
      <w:proofErr w:type="gramEnd"/>
      <w:r w:rsidRPr="00ED172B">
        <w:rPr>
          <w:color w:val="000000" w:themeColor="text1"/>
          <w:szCs w:val="16"/>
        </w:rPr>
        <w:t xml:space="preserve"> from parent consent to when IFSP services are </w:t>
      </w:r>
      <w:proofErr w:type="gramStart"/>
      <w:r w:rsidRPr="00ED172B">
        <w:rPr>
          <w:color w:val="000000" w:themeColor="text1"/>
          <w:szCs w:val="16"/>
        </w:rPr>
        <w:t>actually initiated</w:t>
      </w:r>
      <w:proofErr w:type="gramEnd"/>
      <w:r w:rsidRPr="00ED172B">
        <w:rPr>
          <w:color w:val="000000" w:themeColor="text1"/>
          <w:szCs w:val="16"/>
        </w:rPr>
        <w:t>).</w:t>
      </w:r>
    </w:p>
    <w:p w14:paraId="3CAA1299" w14:textId="77777777" w:rsidR="00DF09CC" w:rsidRPr="00ED172B" w:rsidRDefault="00DF09CC">
      <w:pPr>
        <w:rPr>
          <w:b/>
          <w:color w:val="000000" w:themeColor="text1"/>
        </w:rPr>
      </w:pPr>
      <w:r w:rsidRPr="00ED172B">
        <w:rPr>
          <w:b/>
          <w:color w:val="000000" w:themeColor="text1"/>
        </w:rPr>
        <w:t>Measurement</w:t>
      </w:r>
    </w:p>
    <w:p w14:paraId="639853F7" w14:textId="77777777" w:rsidR="00A86E16" w:rsidRPr="00ED172B" w:rsidRDefault="00A86E16" w:rsidP="0077063D">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of infants and toddlers with IFSPs who receive the early intervention services on their IFSPs in a timely manner) divided by the (total # of infants and toddlers with IFSPs)] times 100.</w:t>
      </w:r>
    </w:p>
    <w:p w14:paraId="65DA2982"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7D7746F3" w14:textId="77777777" w:rsidR="00DF09CC" w:rsidRPr="00ED172B" w:rsidRDefault="00DF09CC">
      <w:pPr>
        <w:rPr>
          <w:b/>
          <w:color w:val="000000" w:themeColor="text1"/>
        </w:rPr>
      </w:pPr>
      <w:r w:rsidRPr="00ED172B">
        <w:rPr>
          <w:b/>
          <w:color w:val="000000" w:themeColor="text1"/>
        </w:rPr>
        <w:t>Instructions</w:t>
      </w:r>
    </w:p>
    <w:p w14:paraId="63E9D99A" w14:textId="77777777" w:rsidR="00A86E16" w:rsidRPr="00D21F29" w:rsidRDefault="00A86E16" w:rsidP="0077063D">
      <w:pPr>
        <w:rPr>
          <w:i/>
          <w:iCs/>
          <w:color w:val="000000" w:themeColor="text1"/>
          <w:szCs w:val="16"/>
        </w:rPr>
      </w:pPr>
      <w:r w:rsidRPr="00D21F29">
        <w:rPr>
          <w:i/>
          <w:iCs/>
          <w:color w:val="000000" w:themeColor="text1"/>
          <w:szCs w:val="16"/>
        </w:rPr>
        <w:t xml:space="preserve">If data are from State monitoring, describe the method used to select early intervention service (EIS) programs for monitoring. If data are from a </w:t>
      </w:r>
      <w:proofErr w:type="gramStart"/>
      <w:r w:rsidRPr="00D21F29">
        <w:rPr>
          <w:i/>
          <w:iCs/>
          <w:color w:val="000000" w:themeColor="text1"/>
          <w:szCs w:val="16"/>
        </w:rPr>
        <w:t>State</w:t>
      </w:r>
      <w:proofErr w:type="gramEnd"/>
      <w:r w:rsidRPr="00D21F29">
        <w:rPr>
          <w:i/>
          <w:iCs/>
          <w:color w:val="000000" w:themeColor="text1"/>
          <w:szCs w:val="16"/>
        </w:rPr>
        <w:t xml:space="preserve"> database, describe the </w:t>
      </w:r>
      <w:proofErr w:type="gramStart"/>
      <w:r w:rsidRPr="00D21F29">
        <w:rPr>
          <w:i/>
          <w:iCs/>
          <w:color w:val="000000" w:themeColor="text1"/>
          <w:szCs w:val="16"/>
        </w:rPr>
        <w:t>time period</w:t>
      </w:r>
      <w:proofErr w:type="gramEnd"/>
      <w:r w:rsidRPr="00D21F29">
        <w:rPr>
          <w:i/>
          <w:iCs/>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1D4DD691" w14:textId="77777777" w:rsidR="00A86E16" w:rsidRPr="00ED172B" w:rsidRDefault="00A86E16" w:rsidP="0077063D">
      <w:pPr>
        <w:rPr>
          <w:color w:val="000000" w:themeColor="text1"/>
          <w:szCs w:val="16"/>
        </w:rPr>
      </w:pPr>
      <w:r w:rsidRPr="00ED172B">
        <w:rPr>
          <w:color w:val="000000" w:themeColor="text1"/>
          <w:szCs w:val="16"/>
        </w:rPr>
        <w:t>Targets must be 100%.</w:t>
      </w:r>
    </w:p>
    <w:p w14:paraId="4E2D488C" w14:textId="77777777" w:rsidR="00A86E16" w:rsidRPr="00ED172B" w:rsidRDefault="00A86E16" w:rsidP="0077063D">
      <w:pPr>
        <w:rPr>
          <w:color w:val="000000" w:themeColor="text1"/>
          <w:szCs w:val="16"/>
        </w:rPr>
      </w:pPr>
      <w:r w:rsidRPr="00ED172B">
        <w:rPr>
          <w:color w:val="000000" w:themeColor="text1"/>
          <w:szCs w:val="16"/>
        </w:rPr>
        <w:t xml:space="preserve">Describe the results of the calculations and compare the results to the target. Describe the method used to collect </w:t>
      </w:r>
      <w:proofErr w:type="gramStart"/>
      <w:r w:rsidRPr="00ED172B">
        <w:rPr>
          <w:color w:val="000000" w:themeColor="text1"/>
          <w:szCs w:val="16"/>
        </w:rPr>
        <w:t>these</w:t>
      </w:r>
      <w:proofErr w:type="gramEnd"/>
      <w:r w:rsidRPr="00ED172B">
        <w:rPr>
          <w:color w:val="000000" w:themeColor="text1"/>
          <w:szCs w:val="16"/>
        </w:rPr>
        <w:t xml:space="preserv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w:t>
      </w:r>
      <w:proofErr w:type="gramStart"/>
      <w:r w:rsidRPr="00ED172B">
        <w:rPr>
          <w:color w:val="000000" w:themeColor="text1"/>
          <w:szCs w:val="16"/>
        </w:rPr>
        <w:t>Include</w:t>
      </w:r>
      <w:proofErr w:type="gramEnd"/>
      <w:r w:rsidRPr="00ED172B">
        <w:rPr>
          <w:color w:val="000000" w:themeColor="text1"/>
          <w:szCs w:val="16"/>
        </w:rPr>
        <w:t xml:space="preserve"> the timely initiation of new early intervention services from both initial IFSPs and subsequent IFSPs. Provide actual numbers used in the calculation.</w:t>
      </w:r>
    </w:p>
    <w:p w14:paraId="3A4514D3" w14:textId="77777777" w:rsidR="00A86E16" w:rsidRPr="00ED172B" w:rsidRDefault="00A86E16" w:rsidP="0077063D">
      <w:pPr>
        <w:rPr>
          <w:color w:val="000000" w:themeColor="text1"/>
          <w:szCs w:val="16"/>
        </w:rPr>
      </w:pPr>
      <w:r w:rsidRPr="00ED172B">
        <w:rPr>
          <w:color w:val="000000" w:themeColor="text1"/>
          <w:szCs w:val="16"/>
        </w:rPr>
        <w:t xml:space="preserve">The State’s timeliness measure for this indicator must be either: (1) </w:t>
      </w:r>
      <w:proofErr w:type="gramStart"/>
      <w:r w:rsidRPr="00ED172B">
        <w:rPr>
          <w:color w:val="000000" w:themeColor="text1"/>
          <w:szCs w:val="16"/>
        </w:rPr>
        <w:t>a time period</w:t>
      </w:r>
      <w:proofErr w:type="gramEnd"/>
      <w:r w:rsidRPr="00ED172B">
        <w:rPr>
          <w:color w:val="000000" w:themeColor="text1"/>
          <w:szCs w:val="16"/>
        </w:rPr>
        <w:t xml:space="preserve"> that runs from when the parent consents to IFSP services; or (2) the IFSP initiation date (established by the IFSP Team, including the parent).</w:t>
      </w:r>
    </w:p>
    <w:p w14:paraId="073CC70F" w14:textId="77777777" w:rsidR="00A86E16" w:rsidRPr="00ED172B" w:rsidRDefault="00A86E16" w:rsidP="0077063D">
      <w:pPr>
        <w:rPr>
          <w:color w:val="000000" w:themeColor="text1"/>
          <w:szCs w:val="16"/>
        </w:rPr>
      </w:pPr>
      <w:r w:rsidRPr="00ED172B">
        <w:rPr>
          <w:color w:val="000000" w:themeColor="text1"/>
          <w:szCs w:val="16"/>
        </w:rPr>
        <w:t xml:space="preserve">States are not required to report in their calculation the number of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41AD4D36" w14:textId="77777777" w:rsidR="00A86E16" w:rsidRPr="00ED172B" w:rsidRDefault="00A86E16" w:rsidP="0077063D">
      <w:pPr>
        <w:rPr>
          <w:color w:val="000000" w:themeColor="text1"/>
          <w:szCs w:val="16"/>
        </w:rPr>
      </w:pPr>
      <w:r w:rsidRPr="00ED172B">
        <w:rPr>
          <w:color w:val="000000" w:themeColor="text1"/>
          <w:szCs w:val="16"/>
        </w:rPr>
        <w:t>Provide detailed information about the timely correction of child-specific and regulatory/systemic 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3077E463" w14:textId="77777777"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028186A8" w14:textId="77777777" w:rsidR="00193E59" w:rsidRPr="00EC51AB" w:rsidRDefault="00E40237" w:rsidP="0077063D">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bookmarkEnd w:id="2"/>
    <w:p w14:paraId="3E178298" w14:textId="77777777" w:rsidR="005E59DB" w:rsidRPr="00A40EE1" w:rsidRDefault="000D0117" w:rsidP="005C3FFD">
      <w:pPr>
        <w:pStyle w:val="Heading2"/>
      </w:pPr>
      <w:r w:rsidRPr="00A40EE1">
        <w:t xml:space="preserve">1 - </w:t>
      </w:r>
      <w:r w:rsidR="0077063D" w:rsidRPr="00A40EE1">
        <w:t>Indicator Data</w:t>
      </w:r>
    </w:p>
    <w:p w14:paraId="26F9D777" w14:textId="77777777"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2DB12D98" w14:textId="77777777" w:rsidTr="00A40EE1">
        <w:trPr>
          <w:trHeight w:val="311"/>
          <w:tblHeader/>
        </w:trPr>
        <w:tc>
          <w:tcPr>
            <w:tcW w:w="1797" w:type="dxa"/>
          </w:tcPr>
          <w:p w14:paraId="59CBBD55"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82B3C31"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6C053B77" w14:textId="77777777" w:rsidTr="00A40EE1">
        <w:trPr>
          <w:trHeight w:val="311"/>
        </w:trPr>
        <w:tc>
          <w:tcPr>
            <w:tcW w:w="1797" w:type="dxa"/>
            <w:vAlign w:val="center"/>
          </w:tcPr>
          <w:p w14:paraId="012EFB8F" w14:textId="77777777" w:rsidR="000A2C40" w:rsidRDefault="000A2C40" w:rsidP="000A2C40">
            <w:pPr>
              <w:jc w:val="center"/>
              <w:rPr>
                <w:b/>
                <w:color w:val="000000" w:themeColor="text1"/>
              </w:rPr>
            </w:pPr>
            <w:r w:rsidRPr="005C29F8">
              <w:rPr>
                <w:rFonts w:cs="Arial"/>
                <w:color w:val="000000" w:themeColor="text1"/>
                <w:szCs w:val="16"/>
              </w:rPr>
              <w:t>2023</w:t>
            </w:r>
          </w:p>
        </w:tc>
        <w:tc>
          <w:tcPr>
            <w:tcW w:w="1798" w:type="dxa"/>
            <w:vAlign w:val="center"/>
          </w:tcPr>
          <w:p w14:paraId="0275608A" w14:textId="77777777" w:rsidR="000A2C40" w:rsidRDefault="000A2C40" w:rsidP="000A2C40">
            <w:pPr>
              <w:jc w:val="center"/>
              <w:rPr>
                <w:b/>
                <w:color w:val="000000" w:themeColor="text1"/>
              </w:rPr>
            </w:pPr>
            <w:r w:rsidRPr="005C29F8">
              <w:rPr>
                <w:rFonts w:cs="Arial"/>
                <w:color w:val="000000" w:themeColor="text1"/>
                <w:szCs w:val="16"/>
              </w:rPr>
              <w:t>98.10%</w:t>
            </w:r>
          </w:p>
        </w:tc>
      </w:tr>
    </w:tbl>
    <w:p w14:paraId="1FC72573"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161E3CE7" w14:textId="77777777" w:rsidTr="00986B99">
        <w:trPr>
          <w:trHeight w:val="350"/>
        </w:trPr>
        <w:tc>
          <w:tcPr>
            <w:tcW w:w="456" w:type="pct"/>
            <w:tcBorders>
              <w:bottom w:val="single" w:sz="4" w:space="0" w:color="auto"/>
            </w:tcBorders>
          </w:tcPr>
          <w:p w14:paraId="35F47695"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vAlign w:val="center"/>
          </w:tcPr>
          <w:p w14:paraId="7E7608BE" w14:textId="77777777"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918" w:type="pct"/>
            <w:vAlign w:val="center"/>
          </w:tcPr>
          <w:p w14:paraId="113A6054" w14:textId="77777777"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850" w:type="pct"/>
            <w:vAlign w:val="center"/>
          </w:tcPr>
          <w:p w14:paraId="078E415F" w14:textId="77777777" w:rsidR="003A4D77" w:rsidRPr="00ED172B" w:rsidRDefault="002163F2" w:rsidP="003A4D77">
            <w:pPr>
              <w:jc w:val="center"/>
              <w:rPr>
                <w:b/>
                <w:color w:val="000000" w:themeColor="text1"/>
                <w:szCs w:val="16"/>
              </w:rPr>
            </w:pPr>
            <w:r w:rsidRPr="00ED172B">
              <w:rPr>
                <w:rFonts w:cs="Arial"/>
                <w:b/>
                <w:color w:val="000000" w:themeColor="text1"/>
                <w:szCs w:val="16"/>
              </w:rPr>
              <w:t>2021</w:t>
            </w:r>
          </w:p>
        </w:tc>
        <w:tc>
          <w:tcPr>
            <w:tcW w:w="930" w:type="pct"/>
            <w:vAlign w:val="center"/>
          </w:tcPr>
          <w:p w14:paraId="776E9E98" w14:textId="77777777" w:rsidR="003A4D77" w:rsidRPr="00ED172B" w:rsidRDefault="002163F2" w:rsidP="003A4D77">
            <w:pPr>
              <w:jc w:val="center"/>
              <w:rPr>
                <w:b/>
                <w:color w:val="000000" w:themeColor="text1"/>
                <w:szCs w:val="16"/>
              </w:rPr>
            </w:pPr>
            <w:r w:rsidRPr="00ED172B">
              <w:rPr>
                <w:rFonts w:cs="Arial"/>
                <w:b/>
                <w:color w:val="000000" w:themeColor="text1"/>
                <w:szCs w:val="16"/>
              </w:rPr>
              <w:t>2022</w:t>
            </w:r>
          </w:p>
        </w:tc>
        <w:tc>
          <w:tcPr>
            <w:tcW w:w="929" w:type="pct"/>
            <w:vAlign w:val="center"/>
          </w:tcPr>
          <w:p w14:paraId="69C71930" w14:textId="77777777" w:rsidR="003A4D77" w:rsidRPr="00ED172B" w:rsidRDefault="006D43D3" w:rsidP="003A4D77">
            <w:pPr>
              <w:jc w:val="center"/>
              <w:rPr>
                <w:b/>
                <w:color w:val="000000" w:themeColor="text1"/>
                <w:szCs w:val="16"/>
              </w:rPr>
            </w:pPr>
            <w:r w:rsidRPr="00ED172B">
              <w:rPr>
                <w:rFonts w:cs="Arial"/>
                <w:b/>
                <w:color w:val="000000" w:themeColor="text1"/>
                <w:szCs w:val="16"/>
              </w:rPr>
              <w:t>2023</w:t>
            </w:r>
          </w:p>
        </w:tc>
      </w:tr>
      <w:tr w:rsidR="00ED172B" w:rsidRPr="00ED172B" w14:paraId="00DB6557" w14:textId="77777777" w:rsidTr="00986B99">
        <w:trPr>
          <w:trHeight w:val="357"/>
        </w:trPr>
        <w:tc>
          <w:tcPr>
            <w:tcW w:w="456" w:type="pct"/>
          </w:tcPr>
          <w:p w14:paraId="21132411" w14:textId="77777777"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tcPr>
          <w:p w14:paraId="765B51DA"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tcPr>
          <w:p w14:paraId="28600272"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tcPr>
          <w:p w14:paraId="064A98C6"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tcPr>
          <w:p w14:paraId="76D390BC" w14:textId="77777777"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tcPr>
          <w:p w14:paraId="2D646DF7" w14:textId="77777777"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63D7DF22" w14:textId="77777777" w:rsidTr="00986B99">
        <w:trPr>
          <w:trHeight w:val="85"/>
        </w:trPr>
        <w:tc>
          <w:tcPr>
            <w:tcW w:w="456" w:type="pct"/>
          </w:tcPr>
          <w:p w14:paraId="7BCB6E74"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vAlign w:val="center"/>
          </w:tcPr>
          <w:p w14:paraId="46594CA8" w14:textId="77777777" w:rsidR="003A4D77" w:rsidRPr="00ED172B" w:rsidRDefault="00860830" w:rsidP="003A4D77">
            <w:pPr>
              <w:jc w:val="center"/>
              <w:rPr>
                <w:color w:val="000000" w:themeColor="text1"/>
                <w:szCs w:val="16"/>
              </w:rPr>
            </w:pPr>
            <w:r w:rsidRPr="00ED172B">
              <w:rPr>
                <w:rFonts w:cs="Arial"/>
                <w:color w:val="000000" w:themeColor="text1"/>
                <w:szCs w:val="16"/>
              </w:rPr>
              <w:t>97.76%</w:t>
            </w:r>
          </w:p>
        </w:tc>
        <w:tc>
          <w:tcPr>
            <w:tcW w:w="918" w:type="pct"/>
            <w:tcBorders>
              <w:bottom w:val="single" w:sz="4" w:space="0" w:color="auto"/>
            </w:tcBorders>
            <w:vAlign w:val="center"/>
          </w:tcPr>
          <w:p w14:paraId="6ADE996D" w14:textId="77777777" w:rsidR="003A4D77" w:rsidRPr="00ED172B" w:rsidRDefault="00860830" w:rsidP="003A4D77">
            <w:pPr>
              <w:jc w:val="center"/>
              <w:rPr>
                <w:color w:val="000000" w:themeColor="text1"/>
                <w:szCs w:val="16"/>
              </w:rPr>
            </w:pPr>
            <w:r w:rsidRPr="00ED172B">
              <w:rPr>
                <w:rFonts w:cs="Arial"/>
                <w:color w:val="000000" w:themeColor="text1"/>
                <w:szCs w:val="16"/>
              </w:rPr>
              <w:t>99.15%</w:t>
            </w:r>
          </w:p>
        </w:tc>
        <w:tc>
          <w:tcPr>
            <w:tcW w:w="850" w:type="pct"/>
            <w:tcBorders>
              <w:bottom w:val="single" w:sz="4" w:space="0" w:color="auto"/>
            </w:tcBorders>
            <w:vAlign w:val="center"/>
          </w:tcPr>
          <w:p w14:paraId="78B0E6FA" w14:textId="77777777" w:rsidR="003A4D77" w:rsidRPr="00ED172B" w:rsidRDefault="00860830" w:rsidP="003A4D77">
            <w:pPr>
              <w:jc w:val="center"/>
              <w:rPr>
                <w:color w:val="000000" w:themeColor="text1"/>
                <w:szCs w:val="16"/>
              </w:rPr>
            </w:pPr>
            <w:r w:rsidRPr="00ED172B">
              <w:rPr>
                <w:rFonts w:cs="Arial"/>
                <w:color w:val="000000" w:themeColor="text1"/>
                <w:szCs w:val="16"/>
              </w:rPr>
              <w:t>98.63%</w:t>
            </w:r>
          </w:p>
        </w:tc>
        <w:tc>
          <w:tcPr>
            <w:tcW w:w="930" w:type="pct"/>
            <w:tcBorders>
              <w:bottom w:val="single" w:sz="4" w:space="0" w:color="auto"/>
            </w:tcBorders>
            <w:vAlign w:val="center"/>
          </w:tcPr>
          <w:p w14:paraId="3599F2BE" w14:textId="77777777" w:rsidR="003A4D77" w:rsidRPr="00ED172B" w:rsidRDefault="00860830" w:rsidP="003A4D77">
            <w:pPr>
              <w:jc w:val="center"/>
              <w:rPr>
                <w:color w:val="000000" w:themeColor="text1"/>
                <w:szCs w:val="16"/>
              </w:rPr>
            </w:pPr>
            <w:r w:rsidRPr="00ED172B">
              <w:rPr>
                <w:rFonts w:cs="Arial"/>
                <w:color w:val="000000" w:themeColor="text1"/>
                <w:szCs w:val="16"/>
              </w:rPr>
              <w:t>97.87%</w:t>
            </w:r>
          </w:p>
        </w:tc>
        <w:tc>
          <w:tcPr>
            <w:tcW w:w="929" w:type="pct"/>
            <w:tcBorders>
              <w:bottom w:val="single" w:sz="4" w:space="0" w:color="auto"/>
            </w:tcBorders>
            <w:vAlign w:val="center"/>
          </w:tcPr>
          <w:p w14:paraId="6E02287B" w14:textId="77777777" w:rsidR="003A4D77" w:rsidRPr="00ED172B" w:rsidRDefault="00860830" w:rsidP="003A4D77">
            <w:pPr>
              <w:jc w:val="center"/>
              <w:rPr>
                <w:color w:val="000000" w:themeColor="text1"/>
                <w:szCs w:val="16"/>
              </w:rPr>
            </w:pPr>
            <w:r w:rsidRPr="00ED172B">
              <w:rPr>
                <w:rFonts w:cs="Arial"/>
                <w:color w:val="000000" w:themeColor="text1"/>
                <w:szCs w:val="16"/>
              </w:rPr>
              <w:t>98.10%</w:t>
            </w:r>
          </w:p>
        </w:tc>
      </w:tr>
    </w:tbl>
    <w:p w14:paraId="6B97FD48" w14:textId="77777777" w:rsidR="000A2C40" w:rsidRDefault="000A2C40">
      <w:pPr>
        <w:rPr>
          <w:b/>
          <w:color w:val="000000" w:themeColor="text1"/>
        </w:rPr>
      </w:pPr>
    </w:p>
    <w:p w14:paraId="40DC9C81" w14:textId="77777777" w:rsidR="00B609A4" w:rsidRPr="00ED172B" w:rsidRDefault="00B609A4">
      <w:pPr>
        <w:rPr>
          <w:b/>
          <w:color w:val="000000" w:themeColor="text1"/>
        </w:rPr>
      </w:pPr>
      <w:r w:rsidRPr="00ED172B">
        <w:rPr>
          <w:b/>
          <w:color w:val="000000" w:themeColor="text1"/>
        </w:rPr>
        <w:t>Targets</w:t>
      </w:r>
    </w:p>
    <w:tbl>
      <w:tblPr>
        <w:tblW w:w="1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80"/>
        <w:gridCol w:w="1688"/>
        <w:gridCol w:w="1685"/>
      </w:tblGrid>
      <w:tr w:rsidR="00CF59E2" w:rsidRPr="00ED172B" w14:paraId="3B24C9BF" w14:textId="77777777" w:rsidTr="00811738">
        <w:trPr>
          <w:trHeight w:val="350"/>
        </w:trPr>
        <w:tc>
          <w:tcPr>
            <w:tcW w:w="838" w:type="pct"/>
            <w:tcBorders>
              <w:bottom w:val="single" w:sz="4" w:space="0" w:color="auto"/>
            </w:tcBorders>
          </w:tcPr>
          <w:p w14:paraId="6A6CE9B0" w14:textId="77777777" w:rsidR="00CF59E2" w:rsidRPr="00ED172B" w:rsidRDefault="00CF59E2" w:rsidP="00E01C49">
            <w:pPr>
              <w:jc w:val="center"/>
              <w:rPr>
                <w:b/>
                <w:color w:val="000000" w:themeColor="text1"/>
                <w:szCs w:val="16"/>
              </w:rPr>
            </w:pPr>
            <w:r w:rsidRPr="00ED172B">
              <w:rPr>
                <w:b/>
                <w:color w:val="000000" w:themeColor="text1"/>
                <w:szCs w:val="16"/>
              </w:rPr>
              <w:t>FFY</w:t>
            </w:r>
          </w:p>
        </w:tc>
        <w:tc>
          <w:tcPr>
            <w:tcW w:w="2083" w:type="pct"/>
            <w:vAlign w:val="center"/>
          </w:tcPr>
          <w:p w14:paraId="6F4DE332" w14:textId="77777777" w:rsidR="00CF59E2" w:rsidRPr="00ED172B" w:rsidRDefault="00CF59E2" w:rsidP="003A4D77">
            <w:pPr>
              <w:jc w:val="center"/>
              <w:rPr>
                <w:b/>
                <w:color w:val="000000" w:themeColor="text1"/>
                <w:szCs w:val="16"/>
              </w:rPr>
            </w:pPr>
            <w:r w:rsidRPr="00ED172B">
              <w:rPr>
                <w:rFonts w:cs="Arial"/>
                <w:b/>
                <w:color w:val="000000" w:themeColor="text1"/>
                <w:szCs w:val="16"/>
              </w:rPr>
              <w:t>2024</w:t>
            </w:r>
          </w:p>
        </w:tc>
        <w:tc>
          <w:tcPr>
            <w:tcW w:w="2079" w:type="pct"/>
          </w:tcPr>
          <w:p w14:paraId="1A11E256" w14:textId="77777777" w:rsidR="00CF59E2" w:rsidRPr="00ED172B" w:rsidRDefault="00CF59E2" w:rsidP="003A4D77">
            <w:pPr>
              <w:jc w:val="center"/>
              <w:rPr>
                <w:rFonts w:cs="Arial"/>
                <w:b/>
                <w:color w:val="000000" w:themeColor="text1"/>
                <w:szCs w:val="16"/>
              </w:rPr>
            </w:pPr>
            <w:r>
              <w:rPr>
                <w:rFonts w:cs="Arial"/>
                <w:b/>
                <w:color w:val="000000" w:themeColor="text1"/>
                <w:szCs w:val="16"/>
              </w:rPr>
              <w:t>2025</w:t>
            </w:r>
          </w:p>
        </w:tc>
      </w:tr>
      <w:tr w:rsidR="00CF59E2" w:rsidRPr="00ED172B" w14:paraId="053B9A2A" w14:textId="77777777" w:rsidTr="00811738">
        <w:trPr>
          <w:trHeight w:val="357"/>
        </w:trPr>
        <w:tc>
          <w:tcPr>
            <w:tcW w:w="838" w:type="pct"/>
          </w:tcPr>
          <w:p w14:paraId="0D5C6953"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083" w:type="pct"/>
          </w:tcPr>
          <w:p w14:paraId="2D414CD3" w14:textId="77777777" w:rsidR="00CF59E2" w:rsidRPr="00ED172B" w:rsidRDefault="00CF59E2" w:rsidP="00715B7C">
            <w:pPr>
              <w:jc w:val="center"/>
              <w:rPr>
                <w:color w:val="000000" w:themeColor="text1"/>
                <w:szCs w:val="16"/>
              </w:rPr>
            </w:pPr>
            <w:r w:rsidRPr="00ED172B">
              <w:rPr>
                <w:color w:val="000000" w:themeColor="text1"/>
                <w:szCs w:val="16"/>
              </w:rPr>
              <w:t>100%</w:t>
            </w:r>
          </w:p>
        </w:tc>
        <w:tc>
          <w:tcPr>
            <w:tcW w:w="2079" w:type="pct"/>
          </w:tcPr>
          <w:p w14:paraId="3D2D12EB" w14:textId="77777777" w:rsidR="00CF59E2" w:rsidRPr="00ED172B" w:rsidRDefault="00CF59E2" w:rsidP="00715B7C">
            <w:pPr>
              <w:jc w:val="center"/>
              <w:rPr>
                <w:color w:val="000000" w:themeColor="text1"/>
                <w:szCs w:val="16"/>
              </w:rPr>
            </w:pPr>
            <w:r>
              <w:rPr>
                <w:color w:val="000000" w:themeColor="text1"/>
                <w:szCs w:val="16"/>
              </w:rPr>
              <w:t>100%</w:t>
            </w:r>
          </w:p>
        </w:tc>
      </w:tr>
    </w:tbl>
    <w:p w14:paraId="5A95FA19" w14:textId="77777777" w:rsidR="000A2C40" w:rsidRDefault="000A2C40">
      <w:pPr>
        <w:rPr>
          <w:b/>
          <w:color w:val="000000" w:themeColor="text1"/>
        </w:rPr>
      </w:pPr>
    </w:p>
    <w:p w14:paraId="46A87DCE" w14:textId="77777777" w:rsidR="00441FB4" w:rsidRPr="00ED172B" w:rsidRDefault="00F22D09">
      <w:pPr>
        <w:rPr>
          <w:b/>
          <w:color w:val="000000" w:themeColor="text1"/>
        </w:rPr>
      </w:pPr>
      <w:r>
        <w:rPr>
          <w:b/>
          <w:color w:val="000000" w:themeColor="text1"/>
        </w:rPr>
        <w:t>FFY 2024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7"/>
        <w:gridCol w:w="1278"/>
        <w:gridCol w:w="1912"/>
        <w:gridCol w:w="1152"/>
        <w:gridCol w:w="1459"/>
        <w:gridCol w:w="1411"/>
      </w:tblGrid>
      <w:tr w:rsidR="00ED172B" w:rsidRPr="00ED172B" w14:paraId="33AB57E6" w14:textId="77777777" w:rsidTr="00A40EE1">
        <w:trPr>
          <w:tblHeader/>
        </w:trPr>
        <w:tc>
          <w:tcPr>
            <w:tcW w:w="793" w:type="pct"/>
            <w:vAlign w:val="bottom"/>
          </w:tcPr>
          <w:p w14:paraId="48EF10D1"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vAlign w:val="bottom"/>
          </w:tcPr>
          <w:p w14:paraId="1664F89F"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vAlign w:val="bottom"/>
          </w:tcPr>
          <w:p w14:paraId="3AA2A54F" w14:textId="77777777" w:rsidR="006A05A9" w:rsidRPr="00ED172B" w:rsidRDefault="00CD74B5" w:rsidP="006A05A9">
            <w:pPr>
              <w:jc w:val="center"/>
              <w:rPr>
                <w:b/>
                <w:color w:val="000000" w:themeColor="text1"/>
                <w:szCs w:val="16"/>
              </w:rPr>
            </w:pPr>
            <w:r>
              <w:rPr>
                <w:rFonts w:cs="Arial"/>
                <w:b/>
                <w:color w:val="000000" w:themeColor="text1"/>
                <w:szCs w:val="16"/>
              </w:rPr>
              <w:t>FFY 2023 Data</w:t>
            </w:r>
          </w:p>
        </w:tc>
        <w:tc>
          <w:tcPr>
            <w:tcW w:w="886" w:type="pct"/>
            <w:vAlign w:val="bottom"/>
          </w:tcPr>
          <w:p w14:paraId="0CAC8E5C" w14:textId="77777777" w:rsidR="006A05A9" w:rsidRPr="00ED172B" w:rsidRDefault="00F22D09" w:rsidP="006A05A9">
            <w:pPr>
              <w:jc w:val="center"/>
              <w:rPr>
                <w:b/>
                <w:color w:val="000000" w:themeColor="text1"/>
                <w:szCs w:val="16"/>
              </w:rPr>
            </w:pPr>
            <w:r>
              <w:rPr>
                <w:rFonts w:cs="Arial"/>
                <w:b/>
                <w:color w:val="000000" w:themeColor="text1"/>
                <w:szCs w:val="16"/>
              </w:rPr>
              <w:t>FFY 2024 Target</w:t>
            </w:r>
          </w:p>
        </w:tc>
        <w:tc>
          <w:tcPr>
            <w:tcW w:w="534" w:type="pct"/>
            <w:vAlign w:val="bottom"/>
          </w:tcPr>
          <w:p w14:paraId="52DE1DE9" w14:textId="77777777" w:rsidR="006A05A9" w:rsidRPr="00ED172B" w:rsidRDefault="00F22D09" w:rsidP="006A05A9">
            <w:pPr>
              <w:jc w:val="center"/>
              <w:rPr>
                <w:b/>
                <w:color w:val="000000" w:themeColor="text1"/>
                <w:szCs w:val="16"/>
              </w:rPr>
            </w:pPr>
            <w:r>
              <w:rPr>
                <w:rFonts w:cs="Arial"/>
                <w:b/>
                <w:color w:val="000000" w:themeColor="text1"/>
                <w:szCs w:val="16"/>
              </w:rPr>
              <w:t>FFY 2024 Data</w:t>
            </w:r>
          </w:p>
        </w:tc>
        <w:tc>
          <w:tcPr>
            <w:tcW w:w="676" w:type="pct"/>
            <w:vAlign w:val="bottom"/>
          </w:tcPr>
          <w:p w14:paraId="2E2E6038" w14:textId="77777777"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vAlign w:val="bottom"/>
          </w:tcPr>
          <w:p w14:paraId="442DFF63" w14:textId="77777777"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323F026F" w14:textId="77777777" w:rsidTr="00A40EE1">
        <w:tc>
          <w:tcPr>
            <w:tcW w:w="793" w:type="pct"/>
            <w:vAlign w:val="center"/>
          </w:tcPr>
          <w:p w14:paraId="4F57F1B7" w14:textId="77777777" w:rsidR="00F97A57" w:rsidRPr="00ED172B" w:rsidRDefault="00860830" w:rsidP="00F97A57">
            <w:pPr>
              <w:jc w:val="center"/>
              <w:rPr>
                <w:color w:val="000000" w:themeColor="text1"/>
                <w:szCs w:val="16"/>
              </w:rPr>
            </w:pPr>
            <w:r w:rsidRPr="00ED172B">
              <w:rPr>
                <w:color w:val="000000" w:themeColor="text1"/>
                <w:szCs w:val="16"/>
              </w:rPr>
              <w:t>1,185</w:t>
            </w:r>
          </w:p>
        </w:tc>
        <w:tc>
          <w:tcPr>
            <w:tcW w:w="865" w:type="pct"/>
            <w:vAlign w:val="center"/>
          </w:tcPr>
          <w:p w14:paraId="7BE0C72E" w14:textId="77777777" w:rsidR="00F97A57" w:rsidRPr="00ED172B" w:rsidRDefault="00860830" w:rsidP="00F97A57">
            <w:pPr>
              <w:jc w:val="center"/>
              <w:rPr>
                <w:color w:val="000000" w:themeColor="text1"/>
                <w:szCs w:val="16"/>
              </w:rPr>
            </w:pPr>
            <w:r w:rsidRPr="00ED172B">
              <w:rPr>
                <w:color w:val="000000" w:themeColor="text1"/>
                <w:szCs w:val="16"/>
              </w:rPr>
              <w:t>1,258</w:t>
            </w:r>
          </w:p>
        </w:tc>
        <w:tc>
          <w:tcPr>
            <w:tcW w:w="592" w:type="pct"/>
          </w:tcPr>
          <w:p w14:paraId="79461769" w14:textId="77777777" w:rsidR="00F97A57" w:rsidRPr="00ED172B" w:rsidRDefault="00860830" w:rsidP="00F97A57">
            <w:pPr>
              <w:jc w:val="center"/>
              <w:rPr>
                <w:color w:val="000000" w:themeColor="text1"/>
                <w:szCs w:val="16"/>
              </w:rPr>
            </w:pPr>
            <w:r w:rsidRPr="00ED172B">
              <w:rPr>
                <w:rFonts w:cs="Arial"/>
                <w:color w:val="000000" w:themeColor="text1"/>
                <w:szCs w:val="16"/>
              </w:rPr>
              <w:t>98.10%</w:t>
            </w:r>
          </w:p>
        </w:tc>
        <w:tc>
          <w:tcPr>
            <w:tcW w:w="886" w:type="pct"/>
          </w:tcPr>
          <w:p w14:paraId="10FCFFF9" w14:textId="77777777"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tcPr>
          <w:p w14:paraId="54F4AB6D" w14:textId="77777777" w:rsidR="00F97A57" w:rsidRPr="00ED172B" w:rsidRDefault="00860830" w:rsidP="00F97A57">
            <w:pPr>
              <w:jc w:val="center"/>
              <w:rPr>
                <w:color w:val="000000" w:themeColor="text1"/>
                <w:szCs w:val="16"/>
              </w:rPr>
            </w:pPr>
            <w:r w:rsidRPr="00ED172B">
              <w:rPr>
                <w:rFonts w:cs="Arial"/>
                <w:color w:val="000000" w:themeColor="text1"/>
                <w:szCs w:val="16"/>
              </w:rPr>
              <w:t>98.81%</w:t>
            </w:r>
          </w:p>
        </w:tc>
        <w:tc>
          <w:tcPr>
            <w:tcW w:w="676" w:type="pct"/>
          </w:tcPr>
          <w:p w14:paraId="496168BC" w14:textId="77777777"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tcPr>
          <w:p w14:paraId="38FBE2F7" w14:textId="77777777"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364D3AF6" w14:textId="77777777"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4BDBB2A7" w14:textId="77777777"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46618EDA" w14:textId="77777777"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58</w:t>
      </w:r>
    </w:p>
    <w:p w14:paraId="27B22766" w14:textId="7777777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89E4499" w14:textId="77777777" w:rsidR="003739C5" w:rsidRPr="00ED172B" w:rsidRDefault="003739C5" w:rsidP="003739C5">
      <w:pPr>
        <w:rPr>
          <w:rFonts w:cs="Arial"/>
          <w:color w:val="000000" w:themeColor="text1"/>
          <w:szCs w:val="16"/>
        </w:rPr>
      </w:pPr>
      <w:r w:rsidRPr="00ED172B">
        <w:rPr>
          <w:color w:val="000000" w:themeColor="text1"/>
          <w:szCs w:val="16"/>
        </w:rPr>
        <w:t xml:space="preserve">During FFY 2024-25 compliance monitoring, delays in timely initiation of IFSP services were categorized into two primary groups: Exceptional Family Circumstances and System Issues. Examples of reasons under each category are outlined below: </w:t>
      </w:r>
    </w:p>
    <w:p w14:paraId="6ABAABE6" w14:textId="77777777" w:rsidR="007876EE" w:rsidRDefault="007876EE"/>
    <w:p w14:paraId="16617C63" w14:textId="77777777" w:rsidR="007876EE" w:rsidRDefault="00000000">
      <w:r>
        <w:rPr>
          <w:color w:val="000000"/>
        </w:rPr>
        <w:t>Exceptional Family Circumstances</w:t>
      </w:r>
    </w:p>
    <w:p w14:paraId="34ED8FAC" w14:textId="77777777" w:rsidR="007876EE" w:rsidRDefault="00000000">
      <w:r>
        <w:rPr>
          <w:color w:val="000000"/>
        </w:rPr>
        <w:t>-Child or family illness</w:t>
      </w:r>
    </w:p>
    <w:p w14:paraId="18AD8BAF" w14:textId="77777777" w:rsidR="007876EE" w:rsidRDefault="00000000">
      <w:r>
        <w:rPr>
          <w:color w:val="000000"/>
        </w:rPr>
        <w:t>-Family vacation or holiday</w:t>
      </w:r>
    </w:p>
    <w:p w14:paraId="54D47604" w14:textId="77777777" w:rsidR="007876EE" w:rsidRDefault="00000000">
      <w:r>
        <w:rPr>
          <w:color w:val="000000"/>
        </w:rPr>
        <w:t>-Family’s preferred schedule</w:t>
      </w:r>
    </w:p>
    <w:p w14:paraId="75C04F31" w14:textId="77777777" w:rsidR="007876EE" w:rsidRDefault="00000000">
      <w:r>
        <w:rPr>
          <w:color w:val="000000"/>
        </w:rPr>
        <w:t>-Missed appointments or cancellations of scheduled services by family</w:t>
      </w:r>
    </w:p>
    <w:p w14:paraId="6DAAFF89" w14:textId="77777777" w:rsidR="007876EE" w:rsidRDefault="00000000">
      <w:r>
        <w:rPr>
          <w:color w:val="000000"/>
        </w:rPr>
        <w:t>-Weather-related events (e.g., snow, ice, tornado, flood)</w:t>
      </w:r>
    </w:p>
    <w:p w14:paraId="541A2AF9" w14:textId="77777777" w:rsidR="007876EE" w:rsidRDefault="00000000">
      <w:r>
        <w:rPr>
          <w:color w:val="000000"/>
        </w:rPr>
        <w:t>-State or local disaster recovery</w:t>
      </w:r>
    </w:p>
    <w:p w14:paraId="0AEF6435" w14:textId="77777777" w:rsidR="007876EE" w:rsidRDefault="007876EE"/>
    <w:p w14:paraId="1CE3FF40" w14:textId="77777777" w:rsidR="007876EE" w:rsidRDefault="00000000">
      <w:r>
        <w:rPr>
          <w:color w:val="000000"/>
        </w:rPr>
        <w:t>System Issues</w:t>
      </w:r>
    </w:p>
    <w:p w14:paraId="71C4045A" w14:textId="77777777" w:rsidR="007876EE" w:rsidRDefault="00000000">
      <w:r>
        <w:rPr>
          <w:color w:val="000000"/>
        </w:rPr>
        <w:t>-Delay by the Service Coordinator in notifying a provider that a service was added to an IFSP</w:t>
      </w:r>
    </w:p>
    <w:p w14:paraId="07E7E331" w14:textId="77777777" w:rsidR="007876EE" w:rsidRDefault="00000000">
      <w:r>
        <w:rPr>
          <w:color w:val="000000"/>
        </w:rPr>
        <w:t>-Provider delay in initiating service</w:t>
      </w:r>
    </w:p>
    <w:p w14:paraId="660370E4" w14:textId="77777777" w:rsidR="007876EE" w:rsidRDefault="00000000">
      <w:r>
        <w:rPr>
          <w:color w:val="000000"/>
        </w:rPr>
        <w:t>-Lack of provider availability</w:t>
      </w:r>
    </w:p>
    <w:p w14:paraId="2D0ECD78" w14:textId="77777777" w:rsidR="007876EE" w:rsidRDefault="00000000">
      <w:r>
        <w:rPr>
          <w:color w:val="000000"/>
        </w:rPr>
        <w:t>-Incomplete documentation of delay reasons</w:t>
      </w:r>
    </w:p>
    <w:p w14:paraId="2BED4AFD" w14:textId="77777777" w:rsidR="007876EE" w:rsidRDefault="00000000">
      <w:r>
        <w:rPr>
          <w:color w:val="000000"/>
        </w:rPr>
        <w:t>-Provider waiting for physician or medical authorization for a service</w:t>
      </w:r>
    </w:p>
    <w:p w14:paraId="49628FF2" w14:textId="77777777" w:rsidR="007876EE" w:rsidRDefault="00000000">
      <w:r>
        <w:rPr>
          <w:color w:val="000000"/>
        </w:rPr>
        <w:t>-Delay in obtaining language interpretation services</w:t>
      </w:r>
    </w:p>
    <w:p w14:paraId="65390E0E" w14:textId="77777777" w:rsidR="007E0FCC" w:rsidRPr="00ED172B" w:rsidRDefault="00A86E16" w:rsidP="00133698">
      <w:pPr>
        <w:rPr>
          <w:rFonts w:cs="Arial"/>
          <w:b/>
          <w:color w:val="000000" w:themeColor="text1"/>
          <w:szCs w:val="16"/>
        </w:rPr>
      </w:pPr>
      <w:r w:rsidRPr="00ED172B">
        <w:rPr>
          <w:rFonts w:cs="Arial"/>
          <w:b/>
          <w:color w:val="000000" w:themeColor="text1"/>
          <w:szCs w:val="16"/>
        </w:rPr>
        <w:t xml:space="preserve">Include your </w:t>
      </w:r>
      <w:proofErr w:type="gramStart"/>
      <w:r w:rsidRPr="00ED172B">
        <w:rPr>
          <w:rFonts w:cs="Arial"/>
          <w:b/>
          <w:color w:val="000000" w:themeColor="text1"/>
          <w:szCs w:val="16"/>
        </w:rPr>
        <w:t>State’s</w:t>
      </w:r>
      <w:proofErr w:type="gramEnd"/>
      <w:r w:rsidRPr="00ED172B">
        <w:rPr>
          <w:rFonts w:cs="Arial"/>
          <w:b/>
          <w:color w:val="000000" w:themeColor="text1"/>
          <w:szCs w:val="16"/>
        </w:rPr>
        <w:t xml:space="preserve"> criteria for “timely” receipt of early intervention services (i.e., the </w:t>
      </w:r>
      <w:proofErr w:type="gramStart"/>
      <w:r w:rsidRPr="00ED172B">
        <w:rPr>
          <w:rFonts w:cs="Arial"/>
          <w:b/>
          <w:color w:val="000000" w:themeColor="text1"/>
          <w:szCs w:val="16"/>
        </w:rPr>
        <w:t>time period</w:t>
      </w:r>
      <w:proofErr w:type="gramEnd"/>
      <w:r w:rsidRPr="00ED172B">
        <w:rPr>
          <w:rFonts w:cs="Arial"/>
          <w:b/>
          <w:color w:val="000000" w:themeColor="text1"/>
          <w:szCs w:val="16"/>
        </w:rPr>
        <w:t xml:space="preserve"> from parent consent to when IFSP services are </w:t>
      </w:r>
      <w:proofErr w:type="gramStart"/>
      <w:r w:rsidRPr="00ED172B">
        <w:rPr>
          <w:rFonts w:cs="Arial"/>
          <w:b/>
          <w:color w:val="000000" w:themeColor="text1"/>
          <w:szCs w:val="16"/>
        </w:rPr>
        <w:t>actually</w:t>
      </w:r>
      <w:r w:rsidRPr="00ED172B">
        <w:rPr>
          <w:b/>
          <w:color w:val="000000" w:themeColor="text1"/>
          <w:szCs w:val="16"/>
        </w:rPr>
        <w:t xml:space="preserve"> </w:t>
      </w:r>
      <w:r w:rsidRPr="00ED172B">
        <w:rPr>
          <w:rFonts w:cs="Arial"/>
          <w:b/>
          <w:color w:val="000000" w:themeColor="text1"/>
          <w:szCs w:val="16"/>
        </w:rPr>
        <w:t>initiated</w:t>
      </w:r>
      <w:proofErr w:type="gramEnd"/>
      <w:r w:rsidRPr="00ED172B">
        <w:rPr>
          <w:rFonts w:cs="Arial"/>
          <w:b/>
          <w:color w:val="000000" w:themeColor="text1"/>
          <w:szCs w:val="16"/>
        </w:rPr>
        <w:t>).</w:t>
      </w:r>
    </w:p>
    <w:p w14:paraId="58DD1271" w14:textId="77777777" w:rsidR="007F3393" w:rsidRPr="00ED172B" w:rsidRDefault="00860830" w:rsidP="00133698">
      <w:pPr>
        <w:rPr>
          <w:color w:val="000000" w:themeColor="text1"/>
          <w:szCs w:val="16"/>
        </w:rPr>
      </w:pPr>
      <w:r w:rsidRPr="00ED172B">
        <w:rPr>
          <w:color w:val="000000" w:themeColor="text1"/>
          <w:szCs w:val="16"/>
        </w:rPr>
        <w:t xml:space="preserve">Tennessee defines "timely service delivery" as no longer than 30 calendar days from the date of parent consent on the Individualized Family Service Plan (IFSP) for a service. </w:t>
      </w:r>
    </w:p>
    <w:p w14:paraId="34194D59" w14:textId="77777777" w:rsidR="007876EE" w:rsidRDefault="00000000">
      <w:r>
        <w:rPr>
          <w:color w:val="000000"/>
        </w:rPr>
        <w:t xml:space="preserve"> </w:t>
      </w:r>
    </w:p>
    <w:p w14:paraId="49B91012" w14:textId="77777777" w:rsidR="007876EE" w:rsidRDefault="00000000">
      <w:r>
        <w:rPr>
          <w:color w:val="000000"/>
        </w:rPr>
        <w:t xml:space="preserve">Data </w:t>
      </w:r>
      <w:proofErr w:type="gramStart"/>
      <w:r>
        <w:rPr>
          <w:color w:val="000000"/>
        </w:rPr>
        <w:t>account</w:t>
      </w:r>
      <w:proofErr w:type="gramEnd"/>
      <w:r>
        <w:rPr>
          <w:color w:val="000000"/>
        </w:rPr>
        <w:t xml:space="preserve"> for the timely initial receipt of all services for a child rather than individual services. For example, if a child had three new services initiated on an IFSP and any one of the services were delivered untimely, the child had untimely service delivery. </w:t>
      </w:r>
    </w:p>
    <w:p w14:paraId="5BAA59FB"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314ACB0D" w14:textId="77777777" w:rsidR="00431D4D" w:rsidRDefault="00431D4D" w:rsidP="00B83404">
      <w:pPr>
        <w:rPr>
          <w:rFonts w:cs="Arial"/>
          <w:color w:val="000000" w:themeColor="text1"/>
          <w:szCs w:val="16"/>
        </w:rPr>
      </w:pPr>
      <w:bookmarkStart w:id="6" w:name="_Hlk23243004"/>
      <w:r w:rsidRPr="00ED172B">
        <w:rPr>
          <w:rFonts w:cs="Arial"/>
          <w:color w:val="000000" w:themeColor="text1"/>
          <w:szCs w:val="16"/>
        </w:rPr>
        <w:t>State monitoring</w:t>
      </w:r>
    </w:p>
    <w:bookmarkEnd w:id="6"/>
    <w:p w14:paraId="1D5C7589" w14:textId="77777777" w:rsidR="005A4FE1" w:rsidRPr="00ED172B" w:rsidRDefault="007F3393" w:rsidP="00B83404">
      <w:pPr>
        <w:rPr>
          <w:b/>
          <w:color w:val="000000" w:themeColor="text1"/>
        </w:rPr>
      </w:pPr>
      <w:r w:rsidRPr="00ED172B">
        <w:rPr>
          <w:b/>
          <w:color w:val="000000" w:themeColor="text1"/>
        </w:rPr>
        <w:t>Describe the method used to select EIS programs for monitoring.</w:t>
      </w:r>
    </w:p>
    <w:p w14:paraId="7F15CB01" w14:textId="77777777" w:rsidR="007F3393" w:rsidRDefault="00860830" w:rsidP="00B83404">
      <w:pPr>
        <w:rPr>
          <w:color w:val="000000" w:themeColor="text1"/>
        </w:rPr>
      </w:pPr>
      <w:r w:rsidRPr="00ED172B">
        <w:rPr>
          <w:color w:val="000000" w:themeColor="text1"/>
        </w:rPr>
        <w:t>All nine Early Intervention Service (EIS) programs, also referred to as TEIS Points of Entry (POEs), were monitored for compliance with Indicator 1 during FFY 2024-25.</w:t>
      </w:r>
    </w:p>
    <w:p w14:paraId="0219D516" w14:textId="77777777" w:rsidR="007876EE" w:rsidRDefault="007876EE"/>
    <w:p w14:paraId="341059E0" w14:textId="77777777" w:rsidR="007876EE" w:rsidRDefault="00000000">
      <w:r>
        <w:rPr>
          <w:color w:val="000000"/>
        </w:rPr>
        <w:t>Annual Monitoring Overview</w:t>
      </w:r>
    </w:p>
    <w:p w14:paraId="7254B8A5" w14:textId="77777777" w:rsidR="007876EE" w:rsidRDefault="00000000">
      <w:r>
        <w:rPr>
          <w:color w:val="000000"/>
        </w:rPr>
        <w:t>For annual monitoring, TEIS selects a representative month of data. In FFY 2024, the month chosen was March 2025. All initial Individualized Family Service Plans (IFSPs) due in that month were reviewed using Tableau, a business intelligence tool linked to the state’s database. The Monitoring Team conducted the review on May 19, 2025, assessing both systemic and child-level compliance.</w:t>
      </w:r>
    </w:p>
    <w:p w14:paraId="373C93B8" w14:textId="77777777" w:rsidR="007876EE" w:rsidRDefault="007876EE"/>
    <w:p w14:paraId="29FBC466" w14:textId="77777777" w:rsidR="007876EE" w:rsidRDefault="00000000">
      <w:r>
        <w:rPr>
          <w:color w:val="000000"/>
        </w:rPr>
        <w:t>Data Selection Process</w:t>
      </w:r>
    </w:p>
    <w:p w14:paraId="3AAA4CA1" w14:textId="77777777" w:rsidR="007876EE" w:rsidRDefault="00000000">
      <w:r>
        <w:rPr>
          <w:color w:val="000000"/>
        </w:rPr>
        <w:t>To establish TEIS’s monitoring approach, an analysis was conducted during FFY 2020-21 using three years of data across multiple elements. The goal was to determine whether any month was more representative of the population served by Tennessee’s Early Intervention System (TEIS). With technical assistance, TEIS concluded that all months were equally representative. The schedule for monitoring all nine EIS programs is reviewed and determined annually.</w:t>
      </w:r>
    </w:p>
    <w:p w14:paraId="324A9295" w14:textId="77777777" w:rsidR="007876EE" w:rsidRDefault="007876EE"/>
    <w:p w14:paraId="71E62CA7" w14:textId="77777777" w:rsidR="007876EE" w:rsidRDefault="00000000">
      <w:r>
        <w:rPr>
          <w:color w:val="000000"/>
        </w:rPr>
        <w:t>Monitoring Details for FFY 2024-25</w:t>
      </w:r>
    </w:p>
    <w:p w14:paraId="264BEA4C" w14:textId="77777777" w:rsidR="007876EE" w:rsidRDefault="00000000">
      <w:r>
        <w:rPr>
          <w:color w:val="000000"/>
        </w:rPr>
        <w:t>For FFY 2024-25, the Monitoring Team used March 2025 data from the Tennessee Early Intervention Data System (TEIDS) to calculate the percentage of Part C children with IFSPs who received early intervention services in a timely manner.</w:t>
      </w:r>
    </w:p>
    <w:p w14:paraId="4968212D" w14:textId="77777777" w:rsidR="007876EE" w:rsidRDefault="007876EE"/>
    <w:p w14:paraId="3ACDA4B3" w14:textId="77777777" w:rsidR="007876EE" w:rsidRDefault="00000000">
      <w:r>
        <w:rPr>
          <w:color w:val="000000"/>
        </w:rPr>
        <w:t>-The review included all children with new IFSP services due in March 2025, totaling 1,427 initial services for 1,258 children.</w:t>
      </w:r>
    </w:p>
    <w:p w14:paraId="7E342956" w14:textId="77777777" w:rsidR="007876EE" w:rsidRDefault="00000000">
      <w:r>
        <w:rPr>
          <w:color w:val="000000"/>
        </w:rPr>
        <w:t>-All TEIS POEs and Service Coordinators with active caseloads were represented in the data.</w:t>
      </w:r>
    </w:p>
    <w:p w14:paraId="3222BEEE" w14:textId="77777777" w:rsidR="007876EE" w:rsidRDefault="00000000">
      <w:r>
        <w:rPr>
          <w:color w:val="000000"/>
        </w:rPr>
        <w:lastRenderedPageBreak/>
        <w:t xml:space="preserve">-Findings were issued for EIS programs not demonstrating full systemic and/or child-level compliance. </w:t>
      </w:r>
    </w:p>
    <w:p w14:paraId="7A037F82" w14:textId="77777777" w:rsidR="007876EE" w:rsidRDefault="007876EE"/>
    <w:p w14:paraId="733F9044" w14:textId="77777777" w:rsidR="007876EE" w:rsidRDefault="00000000">
      <w:r>
        <w:rPr>
          <w:color w:val="000000"/>
        </w:rPr>
        <w:t>Use of Tableau and Internal Controls</w:t>
      </w:r>
    </w:p>
    <w:p w14:paraId="688E6C39" w14:textId="77777777" w:rsidR="007876EE" w:rsidRDefault="00000000">
      <w:r>
        <w:rPr>
          <w:color w:val="000000"/>
        </w:rPr>
        <w:t xml:space="preserve">FFY 2023-24 marked the first year Tableau was used for Indicator 1 compliance monitoring. During that year, TEIS POE leadership also implemented </w:t>
      </w:r>
      <w:proofErr w:type="gramStart"/>
      <w:r>
        <w:rPr>
          <w:color w:val="000000"/>
        </w:rPr>
        <w:t>an Internal</w:t>
      </w:r>
      <w:proofErr w:type="gramEnd"/>
      <w:r>
        <w:rPr>
          <w:color w:val="000000"/>
        </w:rPr>
        <w:t xml:space="preserve"> Controls for Monitoring Process to improve oversight of compliance data.</w:t>
      </w:r>
    </w:p>
    <w:p w14:paraId="3ADAB9B9" w14:textId="77777777" w:rsidR="007876EE" w:rsidRDefault="007876EE"/>
    <w:p w14:paraId="7413C113" w14:textId="77777777" w:rsidR="007876EE" w:rsidRDefault="00000000">
      <w:r>
        <w:rPr>
          <w:color w:val="000000"/>
        </w:rPr>
        <w:t>-POE leadership accessed real-time data through Tableau, enabling proactive responses, forecasting, and resource allocation to prevent delays.</w:t>
      </w:r>
    </w:p>
    <w:p w14:paraId="34E2F20F" w14:textId="77777777" w:rsidR="007876EE" w:rsidRDefault="00000000">
      <w:r>
        <w:rPr>
          <w:color w:val="000000"/>
        </w:rPr>
        <w:t>-When delays occurred, reasons were coded in the data system (e.g., exceptional family circumstances, system-related issues).</w:t>
      </w:r>
    </w:p>
    <w:p w14:paraId="016D028B" w14:textId="77777777" w:rsidR="007876EE" w:rsidRDefault="007876EE"/>
    <w:p w14:paraId="4E0740D9" w14:textId="77777777" w:rsidR="007876EE" w:rsidRDefault="00000000">
      <w:r>
        <w:rPr>
          <w:color w:val="000000"/>
        </w:rPr>
        <w:t>Data Accuracy and Reasons for Delay</w:t>
      </w:r>
    </w:p>
    <w:p w14:paraId="074FA113" w14:textId="77777777" w:rsidR="007876EE" w:rsidRDefault="00000000">
      <w:r>
        <w:rPr>
          <w:color w:val="000000"/>
        </w:rPr>
        <w:t>The TEIS IDEA Implementation Team uses Tableau dashboards to support annual compliance monitoring. The team reviewed the data and confirmed its completeness and accuracy. Reasons for untimely IFSP service initiation or delivery were documented in the system.</w:t>
      </w:r>
    </w:p>
    <w:p w14:paraId="14E3057C" w14:textId="77777777" w:rsidR="007876EE" w:rsidRDefault="007876EE"/>
    <w:p w14:paraId="645626A2" w14:textId="77777777" w:rsidR="007876EE" w:rsidRDefault="00000000">
      <w:r>
        <w:rPr>
          <w:color w:val="000000"/>
        </w:rPr>
        <w:t>Refer to the section “Provide reasons for delay, if applicable” for examples of exceptional family circumstances and system-related reasons used in FFY 2024-25 monitoring.</w:t>
      </w:r>
    </w:p>
    <w:p w14:paraId="581504B8"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3962E7F4" w14:textId="77777777" w:rsidR="006E322D" w:rsidRPr="00ED172B" w:rsidRDefault="006E322D" w:rsidP="00361F62">
      <w:pPr>
        <w:rPr>
          <w:color w:val="000000" w:themeColor="text1"/>
        </w:rPr>
      </w:pPr>
    </w:p>
    <w:p w14:paraId="22693EB4" w14:textId="77777777" w:rsidR="002F1A9A" w:rsidRPr="00ED172B" w:rsidRDefault="002F1A9A"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6ED0F851" w14:textId="77777777" w:rsidTr="00986B99">
        <w:trPr>
          <w:trHeight w:val="389"/>
          <w:tblHeader/>
        </w:trPr>
        <w:tc>
          <w:tcPr>
            <w:tcW w:w="1226" w:type="pct"/>
            <w:vAlign w:val="bottom"/>
          </w:tcPr>
          <w:p w14:paraId="3A9748AC"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58CBBAA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1AC5C15D"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2F97D4F1"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55B9A0" w14:textId="77777777" w:rsidTr="00986B99">
        <w:tc>
          <w:tcPr>
            <w:tcW w:w="1226" w:type="pct"/>
          </w:tcPr>
          <w:p w14:paraId="61D3224D"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tcPr>
          <w:p w14:paraId="7BD7CCF2"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tcPr>
          <w:p w14:paraId="20DE4C1D" w14:textId="77777777" w:rsidR="002F1A9A" w:rsidRPr="00ED172B" w:rsidRDefault="002F1A9A" w:rsidP="00186420">
            <w:pPr>
              <w:jc w:val="center"/>
              <w:rPr>
                <w:rFonts w:cs="Arial"/>
                <w:color w:val="000000" w:themeColor="text1"/>
                <w:szCs w:val="16"/>
              </w:rPr>
            </w:pPr>
          </w:p>
        </w:tc>
        <w:tc>
          <w:tcPr>
            <w:tcW w:w="1258" w:type="pct"/>
          </w:tcPr>
          <w:p w14:paraId="0B1AB31B" w14:textId="7777777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65BEE60C" w14:textId="77777777" w:rsidR="007843C0" w:rsidRPr="00964E73" w:rsidRDefault="007843C0" w:rsidP="007843C0">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678C39AB" w14:textId="77777777" w:rsidR="007843C0" w:rsidRPr="00510A22" w:rsidRDefault="007843C0" w:rsidP="007843C0">
      <w:pPr>
        <w:rPr>
          <w:color w:val="00B0F0"/>
        </w:rPr>
      </w:pPr>
      <w:r w:rsidRPr="00EE69F5">
        <w:t>Verification of Correction of Noncompliance</w:t>
      </w:r>
    </w:p>
    <w:p w14:paraId="098D30C3" w14:textId="77777777" w:rsidR="007876EE" w:rsidRDefault="007876EE"/>
    <w:p w14:paraId="089461F0" w14:textId="77777777" w:rsidR="007876EE" w:rsidRDefault="00000000">
      <w:r>
        <w:t xml:space="preserve">TEIS utilizes OSEP’s QA 23 01 guidance to ensure full alignment with federal requirements for identifying and correcting noncompliance through the State’s general supervision system. In FFY 2023, Tennessee Early Intervention System (TEIS) utilized a pre finding correction process for Indicator 7. This practice was discontinued beginning in FFY 2024. </w:t>
      </w:r>
    </w:p>
    <w:p w14:paraId="3F7DF766" w14:textId="77777777" w:rsidR="007876EE" w:rsidRDefault="007876EE"/>
    <w:p w14:paraId="5E88DB45" w14:textId="77777777" w:rsidR="007876EE" w:rsidRDefault="00000000">
      <w:r>
        <w:t>Identification of Noncompliance</w:t>
      </w:r>
    </w:p>
    <w:p w14:paraId="4350D064" w14:textId="77777777" w:rsidR="007876EE" w:rsidRDefault="007876EE"/>
    <w:p w14:paraId="0E575C81" w14:textId="77777777" w:rsidR="007876EE" w:rsidRDefault="00000000">
      <w:r>
        <w:t>As part of TEIS’s annual monitoring activities, the State reviewed data for all initial services due in October 2023. This review, completed on December 5, 2023, included all nine EIS programs. One EIS program was verified as 100% compliant. Six programs did not demonstrate full compliance during the review. In addition, two programs had ongoing Indicator 1 findings of noncompliance issued on April 18, 2022. TEIS does not issue subsequent findings of noncompliance for the same issue if not corrected timely.</w:t>
      </w:r>
      <w:r>
        <w:t xml:space="preserve"> Timely correction of noncompliance is addressed in TN Part C’s EIS Determination process. </w:t>
      </w:r>
    </w:p>
    <w:p w14:paraId="488481FA" w14:textId="77777777" w:rsidR="007876EE" w:rsidRDefault="007876EE"/>
    <w:p w14:paraId="1E7B27BE" w14:textId="77777777" w:rsidR="007876EE" w:rsidRDefault="00000000">
      <w:r>
        <w:t>Correction of Noncompliance</w:t>
      </w:r>
    </w:p>
    <w:p w14:paraId="75B06848" w14:textId="77777777" w:rsidR="007876EE" w:rsidRDefault="007876EE"/>
    <w:p w14:paraId="0B9D7E35" w14:textId="77777777" w:rsidR="007876EE" w:rsidRDefault="00000000">
      <w:r>
        <w:t>TEIS conducted monthly data reviews to ensure timely correction at both the child and systemic levels:</w:t>
      </w:r>
    </w:p>
    <w:p w14:paraId="33FF6809" w14:textId="77777777" w:rsidR="007876EE" w:rsidRDefault="007876EE"/>
    <w:p w14:paraId="6846DE42" w14:textId="77777777" w:rsidR="007876EE" w:rsidRDefault="00000000">
      <w:r>
        <w:t xml:space="preserve">-October 2023 data were reviewed monthly until each individual instance of child level noncompliance was verified as corrected. For the six programs initially not 100% in compliance to achieve pre-finding correction, all instances of child-level noncompliance in the October 2023 data must be corrected within 90 days from the original data pull in December 2023. </w:t>
      </w:r>
    </w:p>
    <w:p w14:paraId="01C984A3" w14:textId="77777777" w:rsidR="007876EE" w:rsidRDefault="00000000">
      <w:r>
        <w:t>-Data for initial services due in November 2023, December 2023, and January 2024 were reviewed in January, February, and March 2024, respectively, for pre finding correction at both the systemic and child levels.</w:t>
      </w:r>
    </w:p>
    <w:p w14:paraId="2AF221F4" w14:textId="77777777" w:rsidR="007876EE" w:rsidRDefault="007876EE"/>
    <w:p w14:paraId="260D6516" w14:textId="77777777" w:rsidR="007876EE" w:rsidRDefault="00000000">
      <w:r>
        <w:t xml:space="preserve">TEIS verified 100% compliance for each of the EIS six programs not initially 100% compliant but without pre-existing findings of noncompliance. In accordance with TEIS’s pre-finding correction practices effective in FFY 2023 and OSEP’s 23-01 guidance, these six EIS programs were verified as 100% compliant prior to the issuance of findings of noncompliance; therefore, no Indicator 1 findings were issued for these programs. </w:t>
      </w:r>
    </w:p>
    <w:p w14:paraId="6AEBC67F" w14:textId="77777777" w:rsidR="007876EE" w:rsidRDefault="007876EE"/>
    <w:p w14:paraId="722AD73E" w14:textId="77777777" w:rsidR="007876EE" w:rsidRDefault="00000000">
      <w:r>
        <w:t>Programs with Pre Existing Findings Issued in FFY 2022</w:t>
      </w:r>
    </w:p>
    <w:p w14:paraId="70904EF2" w14:textId="77777777" w:rsidR="007876EE" w:rsidRDefault="007876EE"/>
    <w:p w14:paraId="6B3189A1" w14:textId="77777777" w:rsidR="007876EE" w:rsidRDefault="00000000">
      <w:r>
        <w:t>The two EIS programs with existing noncompliance findings from April 2022 did not correct timely in FFY 2022 and demonstrated continued noncompliance during FFY 2023 annual monitoring. TEIS provided targeted technical assistance and supported the development and implementation of updated Corrective Action Plans. Monthly monitoring continued until TEIS verified that each program was 100% compliant, having corrected each instance of child-level noncompliance and demonstrated correct implementation of the regu</w:t>
      </w:r>
      <w:r>
        <w:t xml:space="preserve">latory requirements, consistent with OSEP’s 23-01 guidance. </w:t>
      </w:r>
    </w:p>
    <w:p w14:paraId="6679DF18" w14:textId="77777777" w:rsidR="007876EE" w:rsidRDefault="007876EE"/>
    <w:p w14:paraId="6C70946D" w14:textId="77777777" w:rsidR="007876EE" w:rsidRDefault="00000000">
      <w:r>
        <w:t>-Program 1 was verified as 100% compliant on June 18, 2024.</w:t>
      </w:r>
    </w:p>
    <w:p w14:paraId="35FB0B57" w14:textId="77777777" w:rsidR="007876EE" w:rsidRDefault="00000000">
      <w:r>
        <w:t>-Program 2 was verified as 100% compliant on September 25, 2025.</w:t>
      </w:r>
    </w:p>
    <w:p w14:paraId="7AEED840" w14:textId="77777777" w:rsidR="002F1A9A" w:rsidRPr="00ED172B" w:rsidRDefault="002F1A9A"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069065AD" w14:textId="77777777" w:rsidTr="00986B99">
        <w:trPr>
          <w:tblHeader/>
        </w:trPr>
        <w:tc>
          <w:tcPr>
            <w:tcW w:w="899" w:type="pct"/>
            <w:vAlign w:val="bottom"/>
          </w:tcPr>
          <w:p w14:paraId="37EB12AD"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lastRenderedPageBreak/>
              <w:t>Year Findings of Noncompliance Were Identified</w:t>
            </w:r>
          </w:p>
        </w:tc>
        <w:tc>
          <w:tcPr>
            <w:tcW w:w="1399" w:type="pct"/>
            <w:vAlign w:val="bottom"/>
          </w:tcPr>
          <w:p w14:paraId="50384167"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1931DBF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28D1755E"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353FB823" w14:textId="77777777" w:rsidTr="00986B99">
        <w:tc>
          <w:tcPr>
            <w:tcW w:w="899" w:type="pct"/>
          </w:tcPr>
          <w:p w14:paraId="6C995F1C" w14:textId="77777777" w:rsidR="002F1A9A" w:rsidRPr="00ED172B" w:rsidRDefault="002F1A9A" w:rsidP="00186420">
            <w:pPr>
              <w:jc w:val="center"/>
              <w:rPr>
                <w:rFonts w:cs="Arial"/>
                <w:color w:val="000000" w:themeColor="text1"/>
                <w:szCs w:val="16"/>
              </w:rPr>
            </w:pPr>
          </w:p>
        </w:tc>
        <w:tc>
          <w:tcPr>
            <w:tcW w:w="1399" w:type="pct"/>
          </w:tcPr>
          <w:p w14:paraId="52E29707" w14:textId="77777777" w:rsidR="002F1A9A" w:rsidRPr="00ED172B" w:rsidRDefault="002F1A9A" w:rsidP="009A3621">
            <w:pPr>
              <w:jc w:val="center"/>
              <w:rPr>
                <w:rFonts w:cs="Arial"/>
                <w:noProof/>
                <w:color w:val="000000" w:themeColor="text1"/>
                <w:szCs w:val="16"/>
              </w:rPr>
            </w:pPr>
          </w:p>
        </w:tc>
        <w:tc>
          <w:tcPr>
            <w:tcW w:w="1394" w:type="pct"/>
          </w:tcPr>
          <w:p w14:paraId="59C8CA13" w14:textId="77777777" w:rsidR="002F1A9A" w:rsidRPr="00ED172B" w:rsidRDefault="002F1A9A" w:rsidP="009A3621">
            <w:pPr>
              <w:jc w:val="center"/>
              <w:rPr>
                <w:rFonts w:cs="Arial"/>
                <w:noProof/>
                <w:color w:val="000000" w:themeColor="text1"/>
                <w:szCs w:val="16"/>
              </w:rPr>
            </w:pPr>
          </w:p>
        </w:tc>
        <w:tc>
          <w:tcPr>
            <w:tcW w:w="1307" w:type="pct"/>
          </w:tcPr>
          <w:p w14:paraId="06FD0F47" w14:textId="77777777" w:rsidR="002F1A9A" w:rsidRPr="00ED172B" w:rsidRDefault="002F1A9A" w:rsidP="00433DB7">
            <w:pPr>
              <w:jc w:val="center"/>
              <w:rPr>
                <w:rFonts w:cs="Arial"/>
                <w:noProof/>
                <w:color w:val="000000" w:themeColor="text1"/>
                <w:szCs w:val="16"/>
              </w:rPr>
            </w:pPr>
          </w:p>
        </w:tc>
      </w:tr>
      <w:tr w:rsidR="00ED172B" w:rsidRPr="00ED172B" w14:paraId="112FA387" w14:textId="77777777" w:rsidTr="00986B99">
        <w:tc>
          <w:tcPr>
            <w:tcW w:w="899" w:type="pct"/>
          </w:tcPr>
          <w:p w14:paraId="6887EA08" w14:textId="77777777" w:rsidR="002F1A9A" w:rsidRPr="00ED172B" w:rsidRDefault="002F1A9A" w:rsidP="00186420">
            <w:pPr>
              <w:jc w:val="center"/>
              <w:rPr>
                <w:rFonts w:cs="Arial"/>
                <w:color w:val="000000" w:themeColor="text1"/>
                <w:szCs w:val="16"/>
              </w:rPr>
            </w:pPr>
          </w:p>
        </w:tc>
        <w:tc>
          <w:tcPr>
            <w:tcW w:w="1399" w:type="pct"/>
          </w:tcPr>
          <w:p w14:paraId="412A3482" w14:textId="77777777" w:rsidR="002F1A9A" w:rsidRPr="00ED172B" w:rsidRDefault="002F1A9A" w:rsidP="009A3621">
            <w:pPr>
              <w:jc w:val="center"/>
              <w:rPr>
                <w:rFonts w:cs="Arial"/>
                <w:noProof/>
                <w:color w:val="000000" w:themeColor="text1"/>
                <w:szCs w:val="16"/>
              </w:rPr>
            </w:pPr>
          </w:p>
        </w:tc>
        <w:tc>
          <w:tcPr>
            <w:tcW w:w="1394" w:type="pct"/>
          </w:tcPr>
          <w:p w14:paraId="0B2D45E2" w14:textId="77777777" w:rsidR="002F1A9A" w:rsidRPr="00ED172B" w:rsidRDefault="002F1A9A" w:rsidP="009A3621">
            <w:pPr>
              <w:jc w:val="center"/>
              <w:rPr>
                <w:rFonts w:cs="Arial"/>
                <w:noProof/>
                <w:color w:val="000000" w:themeColor="text1"/>
                <w:szCs w:val="16"/>
              </w:rPr>
            </w:pPr>
          </w:p>
        </w:tc>
        <w:tc>
          <w:tcPr>
            <w:tcW w:w="1307" w:type="pct"/>
          </w:tcPr>
          <w:p w14:paraId="62DE9CBB" w14:textId="77777777" w:rsidR="002F1A9A" w:rsidRPr="00ED172B" w:rsidRDefault="002F1A9A" w:rsidP="00433DB7">
            <w:pPr>
              <w:jc w:val="center"/>
              <w:rPr>
                <w:rFonts w:cs="Arial"/>
                <w:noProof/>
                <w:color w:val="000000" w:themeColor="text1"/>
                <w:szCs w:val="16"/>
              </w:rPr>
            </w:pPr>
          </w:p>
        </w:tc>
      </w:tr>
      <w:tr w:rsidR="00ED172B" w:rsidRPr="00ED172B" w14:paraId="7AC7706E" w14:textId="77777777" w:rsidTr="00986B99">
        <w:tc>
          <w:tcPr>
            <w:tcW w:w="899" w:type="pct"/>
          </w:tcPr>
          <w:p w14:paraId="6BA1339A" w14:textId="77777777" w:rsidR="002F1A9A" w:rsidRPr="00ED172B" w:rsidRDefault="002F1A9A" w:rsidP="00186420">
            <w:pPr>
              <w:jc w:val="center"/>
              <w:rPr>
                <w:rFonts w:cs="Arial"/>
                <w:color w:val="000000" w:themeColor="text1"/>
                <w:szCs w:val="16"/>
              </w:rPr>
            </w:pPr>
          </w:p>
        </w:tc>
        <w:tc>
          <w:tcPr>
            <w:tcW w:w="1399" w:type="pct"/>
          </w:tcPr>
          <w:p w14:paraId="224598AD" w14:textId="77777777" w:rsidR="002F1A9A" w:rsidRPr="00ED172B" w:rsidRDefault="002F1A9A" w:rsidP="009A3621">
            <w:pPr>
              <w:jc w:val="center"/>
              <w:rPr>
                <w:rFonts w:cs="Arial"/>
                <w:noProof/>
                <w:color w:val="000000" w:themeColor="text1"/>
                <w:szCs w:val="16"/>
              </w:rPr>
            </w:pPr>
          </w:p>
        </w:tc>
        <w:tc>
          <w:tcPr>
            <w:tcW w:w="1394" w:type="pct"/>
          </w:tcPr>
          <w:p w14:paraId="62FEF6E4" w14:textId="77777777" w:rsidR="002F1A9A" w:rsidRPr="00ED172B" w:rsidRDefault="002F1A9A" w:rsidP="009A3621">
            <w:pPr>
              <w:jc w:val="center"/>
              <w:rPr>
                <w:rFonts w:cs="Arial"/>
                <w:noProof/>
                <w:color w:val="000000" w:themeColor="text1"/>
                <w:szCs w:val="16"/>
              </w:rPr>
            </w:pPr>
          </w:p>
        </w:tc>
        <w:tc>
          <w:tcPr>
            <w:tcW w:w="1307" w:type="pct"/>
          </w:tcPr>
          <w:p w14:paraId="6A52850F" w14:textId="77777777" w:rsidR="002F1A9A" w:rsidRPr="00ED172B" w:rsidRDefault="002F1A9A" w:rsidP="00433DB7">
            <w:pPr>
              <w:jc w:val="center"/>
              <w:rPr>
                <w:rFonts w:cs="Arial"/>
                <w:noProof/>
                <w:color w:val="000000" w:themeColor="text1"/>
                <w:szCs w:val="16"/>
              </w:rPr>
            </w:pPr>
          </w:p>
        </w:tc>
      </w:tr>
      <w:tr w:rsidR="00D06052" w:rsidRPr="00ED172B" w14:paraId="331521D7" w14:textId="77777777" w:rsidTr="00986B99">
        <w:tc>
          <w:tcPr>
            <w:tcW w:w="899" w:type="pct"/>
          </w:tcPr>
          <w:p w14:paraId="50311FF3" w14:textId="77777777" w:rsidR="00D06052" w:rsidRPr="00ED172B" w:rsidRDefault="00D06052" w:rsidP="00D06052">
            <w:pPr>
              <w:jc w:val="center"/>
              <w:rPr>
                <w:rFonts w:cs="Arial"/>
                <w:color w:val="000000" w:themeColor="text1"/>
                <w:szCs w:val="16"/>
              </w:rPr>
            </w:pPr>
          </w:p>
        </w:tc>
        <w:tc>
          <w:tcPr>
            <w:tcW w:w="1399" w:type="pct"/>
          </w:tcPr>
          <w:p w14:paraId="07A38E03" w14:textId="77777777" w:rsidR="00D06052" w:rsidRPr="00ED172B" w:rsidRDefault="00D06052" w:rsidP="00D06052">
            <w:pPr>
              <w:jc w:val="center"/>
              <w:rPr>
                <w:rFonts w:cs="Arial"/>
                <w:color w:val="000000" w:themeColor="text1"/>
                <w:szCs w:val="16"/>
              </w:rPr>
            </w:pPr>
          </w:p>
        </w:tc>
        <w:tc>
          <w:tcPr>
            <w:tcW w:w="1394" w:type="pct"/>
          </w:tcPr>
          <w:p w14:paraId="288BCFAD" w14:textId="77777777" w:rsidR="00D06052" w:rsidRPr="00ED172B" w:rsidRDefault="00D06052" w:rsidP="00D06052">
            <w:pPr>
              <w:jc w:val="center"/>
              <w:rPr>
                <w:rFonts w:cs="Arial"/>
                <w:color w:val="000000" w:themeColor="text1"/>
                <w:szCs w:val="16"/>
              </w:rPr>
            </w:pPr>
          </w:p>
        </w:tc>
        <w:tc>
          <w:tcPr>
            <w:tcW w:w="1307" w:type="pct"/>
          </w:tcPr>
          <w:p w14:paraId="16AAD75F" w14:textId="77777777" w:rsidR="00D06052" w:rsidRPr="00ED172B" w:rsidRDefault="00D06052" w:rsidP="00D06052">
            <w:pPr>
              <w:jc w:val="center"/>
              <w:rPr>
                <w:rFonts w:cs="Arial"/>
                <w:color w:val="000000" w:themeColor="text1"/>
                <w:szCs w:val="16"/>
              </w:rPr>
            </w:pPr>
          </w:p>
        </w:tc>
      </w:tr>
      <w:tr w:rsidR="00D06052" w:rsidRPr="00ED172B" w14:paraId="12B4B215" w14:textId="77777777" w:rsidTr="00986B99">
        <w:tc>
          <w:tcPr>
            <w:tcW w:w="899" w:type="pct"/>
          </w:tcPr>
          <w:p w14:paraId="4CC01623" w14:textId="77777777" w:rsidR="00D06052" w:rsidRPr="00ED172B" w:rsidRDefault="00D06052" w:rsidP="00D06052">
            <w:pPr>
              <w:jc w:val="center"/>
              <w:rPr>
                <w:rFonts w:cs="Arial"/>
                <w:color w:val="000000" w:themeColor="text1"/>
                <w:szCs w:val="16"/>
              </w:rPr>
            </w:pPr>
          </w:p>
        </w:tc>
        <w:tc>
          <w:tcPr>
            <w:tcW w:w="1399" w:type="pct"/>
          </w:tcPr>
          <w:p w14:paraId="001E1F2D" w14:textId="77777777" w:rsidR="00D06052" w:rsidRPr="00ED172B" w:rsidRDefault="00D06052" w:rsidP="00D06052">
            <w:pPr>
              <w:jc w:val="center"/>
              <w:rPr>
                <w:rFonts w:cs="Arial"/>
                <w:color w:val="000000" w:themeColor="text1"/>
                <w:szCs w:val="16"/>
              </w:rPr>
            </w:pPr>
          </w:p>
        </w:tc>
        <w:tc>
          <w:tcPr>
            <w:tcW w:w="1394" w:type="pct"/>
          </w:tcPr>
          <w:p w14:paraId="1E9EA863" w14:textId="77777777" w:rsidR="00D06052" w:rsidRPr="00ED172B" w:rsidRDefault="00D06052" w:rsidP="00D06052">
            <w:pPr>
              <w:jc w:val="center"/>
              <w:rPr>
                <w:rFonts w:cs="Arial"/>
                <w:color w:val="000000" w:themeColor="text1"/>
                <w:szCs w:val="16"/>
              </w:rPr>
            </w:pPr>
          </w:p>
        </w:tc>
        <w:tc>
          <w:tcPr>
            <w:tcW w:w="1307" w:type="pct"/>
          </w:tcPr>
          <w:p w14:paraId="47AEA9CB" w14:textId="77777777" w:rsidR="00D06052" w:rsidRPr="00ED172B" w:rsidRDefault="00D06052" w:rsidP="00D06052">
            <w:pPr>
              <w:jc w:val="center"/>
              <w:rPr>
                <w:rFonts w:cs="Arial"/>
                <w:color w:val="000000" w:themeColor="text1"/>
                <w:szCs w:val="16"/>
              </w:rPr>
            </w:pPr>
          </w:p>
        </w:tc>
      </w:tr>
    </w:tbl>
    <w:p w14:paraId="3920813B" w14:textId="77777777" w:rsidR="00DE328D" w:rsidRPr="00ED172B" w:rsidRDefault="00DE328D">
      <w:pPr>
        <w:rPr>
          <w:color w:val="000000" w:themeColor="text1"/>
        </w:rPr>
      </w:pPr>
    </w:p>
    <w:p w14:paraId="2F0A97B7" w14:textId="77777777" w:rsidR="002F1A9A" w:rsidRPr="00A40EE1" w:rsidRDefault="000D0117" w:rsidP="005C3FFD">
      <w:pPr>
        <w:pStyle w:val="Heading2"/>
      </w:pPr>
      <w:r w:rsidRPr="00A40EE1">
        <w:t xml:space="preserve">1 - </w:t>
      </w:r>
      <w:r w:rsidR="002F1A9A" w:rsidRPr="00A40EE1">
        <w:t>Prior FFY Required Actions</w:t>
      </w:r>
    </w:p>
    <w:p w14:paraId="446B14CE" w14:textId="77777777" w:rsidR="002F1A9A" w:rsidRPr="00ED172B" w:rsidRDefault="005E414F" w:rsidP="00027F39">
      <w:pPr>
        <w:rPr>
          <w:color w:val="000000" w:themeColor="text1"/>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ED172B">
        <w:rPr>
          <w:color w:val="000000" w:themeColor="text1"/>
        </w:rPr>
        <w:t>reflect</w:t>
      </w:r>
      <w:proofErr w:type="gramEnd"/>
      <w:r w:rsidRPr="00ED172B">
        <w:rPr>
          <w:color w:val="000000" w:themeColor="text1"/>
        </w:rPr>
        <w:t xml:space="preserve">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5B0A0E0F" w14:textId="77777777" w:rsidR="004C1CEE" w:rsidRPr="00ED172B" w:rsidRDefault="004C1CEE" w:rsidP="002F1A9A">
      <w:pPr>
        <w:rPr>
          <w:rFonts w:cs="Arial"/>
          <w:color w:val="000000" w:themeColor="text1"/>
          <w:szCs w:val="16"/>
        </w:rPr>
      </w:pPr>
    </w:p>
    <w:p w14:paraId="2BCA2C84" w14:textId="77777777" w:rsidR="002F1A9A" w:rsidRPr="00ED172B" w:rsidRDefault="002F1A9A"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061AA058" w14:textId="77777777" w:rsidR="002F1A9A" w:rsidRPr="00ED172B" w:rsidRDefault="00027F39" w:rsidP="00027F39">
      <w:pPr>
        <w:rPr>
          <w:color w:val="000000" w:themeColor="text1"/>
        </w:rPr>
      </w:pPr>
      <w:r w:rsidRPr="00ED172B">
        <w:rPr>
          <w:color w:val="000000" w:themeColor="text1"/>
        </w:rPr>
        <w:t>The State has revised and expanded the section describing its pre finding correction process in FFY 2023 for this indicator. The updated narrative provides a clearer explanation of how TEIS ensured full alignment with OSEP QA 23 01, including (1) verification that each EIS program correctly implemented the regulatory requirements based on subsequently collected data, and (2) confirmation that each individual instance of noncompliance was corrected unless the child was no longer within the program’s jurisdiction. The revised description now explicitly details the data sources reviewed, the monthly verification steps used to confirm both child level and systemic correction, and how TEIS determined that programs achieved 100% compliance prior to the issuance of findings.</w:t>
      </w:r>
    </w:p>
    <w:p w14:paraId="46860205" w14:textId="77777777" w:rsidR="002F1A9A" w:rsidRPr="00A40EE1" w:rsidRDefault="000D0117" w:rsidP="005C3FFD">
      <w:pPr>
        <w:pStyle w:val="Heading2"/>
      </w:pPr>
      <w:r w:rsidRPr="00A40EE1">
        <w:t xml:space="preserve">1 - </w:t>
      </w:r>
      <w:r w:rsidR="002F1A9A" w:rsidRPr="00A40EE1">
        <w:t>OSEP Response</w:t>
      </w:r>
    </w:p>
    <w:p w14:paraId="1E08608C" w14:textId="77777777" w:rsidR="002F1A9A" w:rsidRPr="00ED172B" w:rsidRDefault="005E414F" w:rsidP="00027F39">
      <w:pPr>
        <w:rPr>
          <w:color w:val="000000" w:themeColor="text1"/>
        </w:rPr>
      </w:pPr>
      <w:r w:rsidRPr="00ED172B">
        <w:rPr>
          <w:color w:val="000000" w:themeColor="text1"/>
        </w:rPr>
        <w:t>The State's FFY 2023 data for this indicator reflected less than 100% compliance. The State reported that it did not identify any findings of noncompliance in FFY 2023 because it corrected the noncompliance prior to the issuance of findings. However, OSEP could not determine if the State ensured, consistent with OSEP QA 23-01, that each EIS program or provider: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w:t>
      </w:r>
    </w:p>
    <w:p w14:paraId="426C8F76" w14:textId="77777777" w:rsidR="002F1A9A" w:rsidRPr="00A40EE1" w:rsidRDefault="000D0117" w:rsidP="005C3FFD">
      <w:pPr>
        <w:pStyle w:val="Heading2"/>
      </w:pPr>
      <w:r w:rsidRPr="00A40EE1">
        <w:t xml:space="preserve">1 - </w:t>
      </w:r>
      <w:r w:rsidR="002F1A9A" w:rsidRPr="00A40EE1">
        <w:t>Required Actions</w:t>
      </w:r>
    </w:p>
    <w:p w14:paraId="59C868F9" w14:textId="77777777" w:rsidR="002F1A9A" w:rsidRPr="00ED172B" w:rsidRDefault="002F1A9A" w:rsidP="00027F39">
      <w:pPr>
        <w:rPr>
          <w:color w:val="000000" w:themeColor="text1"/>
        </w:rPr>
      </w:pPr>
    </w:p>
    <w:p w14:paraId="787000C1" w14:textId="77777777"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7BD9E651" w14:textId="77777777"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7165BB84"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66D7AE29"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Early Intervention Services </w:t>
      </w:r>
      <w:proofErr w:type="gramStart"/>
      <w:r w:rsidRPr="00ED172B">
        <w:rPr>
          <w:color w:val="000000" w:themeColor="text1"/>
          <w:szCs w:val="16"/>
        </w:rPr>
        <w:t>In</w:t>
      </w:r>
      <w:proofErr w:type="gramEnd"/>
      <w:r w:rsidRPr="00ED172B">
        <w:rPr>
          <w:color w:val="000000" w:themeColor="text1"/>
          <w:szCs w:val="16"/>
        </w:rPr>
        <w:t xml:space="preserve"> Natural Environments</w:t>
      </w:r>
    </w:p>
    <w:p w14:paraId="7B415ACB" w14:textId="77777777"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15452046" w14:textId="77777777" w:rsidR="006628E4" w:rsidRPr="00ED172B" w:rsidRDefault="006628E4">
      <w:pPr>
        <w:rPr>
          <w:b/>
          <w:color w:val="000000" w:themeColor="text1"/>
        </w:rPr>
      </w:pPr>
      <w:r w:rsidRPr="00ED172B">
        <w:rPr>
          <w:b/>
          <w:color w:val="000000" w:themeColor="text1"/>
        </w:rPr>
        <w:t>Data Source</w:t>
      </w:r>
    </w:p>
    <w:p w14:paraId="17F3E118" w14:textId="77777777" w:rsidR="005D37E4" w:rsidRPr="003461DB" w:rsidRDefault="005D37E4" w:rsidP="005D37E4">
      <w:pPr>
        <w:rPr>
          <w:szCs w:val="16"/>
        </w:rPr>
      </w:pPr>
      <w:r w:rsidRPr="00ED3380">
        <w:rPr>
          <w:szCs w:val="16"/>
        </w:rPr>
        <w:t xml:space="preserve">Same data as used for reporting to the Department under section 618 of the IDEA, using the definitions in </w:t>
      </w:r>
      <w:proofErr w:type="spellStart"/>
      <w:r w:rsidRPr="00ED3380">
        <w:rPr>
          <w:szCs w:val="16"/>
        </w:rPr>
        <w:t>EDFacts</w:t>
      </w:r>
      <w:proofErr w:type="spellEnd"/>
      <w:r w:rsidRPr="00ED3380">
        <w:rPr>
          <w:szCs w:val="16"/>
        </w:rPr>
        <w:t xml:space="preserve"> file specification FS902.</w:t>
      </w:r>
    </w:p>
    <w:p w14:paraId="020F0A06" w14:textId="77777777" w:rsidR="006628E4" w:rsidRPr="00ED172B" w:rsidRDefault="006628E4">
      <w:pPr>
        <w:rPr>
          <w:b/>
          <w:color w:val="000000" w:themeColor="text1"/>
        </w:rPr>
      </w:pPr>
      <w:r w:rsidRPr="00ED172B">
        <w:rPr>
          <w:b/>
          <w:color w:val="000000" w:themeColor="text1"/>
        </w:rPr>
        <w:t>Measurement</w:t>
      </w:r>
    </w:p>
    <w:p w14:paraId="1600336B" w14:textId="77777777" w:rsidR="006628E4" w:rsidRPr="00ED172B" w:rsidRDefault="006628E4" w:rsidP="00174E1C">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of infants and toddlers with IFSPs who primarily receive early intervention services in the home or community-based settings) divided by the (total # of infants and toddlers with IFSPs)] times 100.</w:t>
      </w:r>
    </w:p>
    <w:p w14:paraId="20C13BEF" w14:textId="77777777" w:rsidR="006628E4" w:rsidRPr="00ED172B" w:rsidRDefault="006628E4">
      <w:pPr>
        <w:rPr>
          <w:b/>
          <w:color w:val="000000" w:themeColor="text1"/>
        </w:rPr>
      </w:pPr>
      <w:r w:rsidRPr="00ED172B">
        <w:rPr>
          <w:b/>
          <w:color w:val="000000" w:themeColor="text1"/>
        </w:rPr>
        <w:t>Instructions</w:t>
      </w:r>
    </w:p>
    <w:p w14:paraId="302502D0"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16E9A7E0"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1CDA0CB3" w14:textId="77777777"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7425FE13" w14:textId="77777777" w:rsidR="00DE5141" w:rsidRPr="00A40EE1" w:rsidRDefault="000D0117" w:rsidP="005C3FFD">
      <w:pPr>
        <w:pStyle w:val="Heading2"/>
      </w:pPr>
      <w:r w:rsidRPr="00A40EE1">
        <w:t xml:space="preserve">2 - </w:t>
      </w:r>
      <w:r w:rsidR="00174E1C" w:rsidRPr="00A40EE1">
        <w:t>Indicator Data</w:t>
      </w:r>
    </w:p>
    <w:p w14:paraId="709110F1" w14:textId="77777777" w:rsidR="00B312CC" w:rsidRDefault="00B312CC">
      <w:pPr>
        <w:rPr>
          <w:b/>
          <w:color w:val="000000" w:themeColor="text1"/>
        </w:rPr>
      </w:pPr>
      <w:bookmarkStart w:id="9" w:name="_Toc392159264"/>
      <w:r w:rsidRPr="00ED172B">
        <w:rPr>
          <w:b/>
          <w:color w:val="000000" w:themeColor="text1"/>
        </w:rPr>
        <w:t>Historical Data</w:t>
      </w:r>
    </w:p>
    <w:p w14:paraId="0843D914" w14:textId="77777777"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3529A4B" w14:textId="77777777" w:rsidTr="004B3BC6">
        <w:trPr>
          <w:trHeight w:val="350"/>
          <w:tblHeader/>
        </w:trPr>
        <w:tc>
          <w:tcPr>
            <w:tcW w:w="1800" w:type="dxa"/>
            <w:tcBorders>
              <w:bottom w:val="single" w:sz="4" w:space="0" w:color="auto"/>
            </w:tcBorders>
            <w:vAlign w:val="center"/>
          </w:tcPr>
          <w:p w14:paraId="2DEB7A8E" w14:textId="77777777"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vAlign w:val="center"/>
          </w:tcPr>
          <w:p w14:paraId="3DC96C75" w14:textId="77777777"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2EE285F" w14:textId="77777777" w:rsidTr="00A40EE1">
        <w:trPr>
          <w:trHeight w:val="350"/>
        </w:trPr>
        <w:tc>
          <w:tcPr>
            <w:tcW w:w="1800" w:type="dxa"/>
            <w:tcBorders>
              <w:bottom w:val="single" w:sz="4" w:space="0" w:color="auto"/>
            </w:tcBorders>
            <w:vAlign w:val="center"/>
          </w:tcPr>
          <w:p w14:paraId="42F62EA0"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vAlign w:val="center"/>
          </w:tcPr>
          <w:p w14:paraId="796781DE" w14:textId="77777777" w:rsidR="0038029B" w:rsidRPr="00ED172B" w:rsidRDefault="0038029B" w:rsidP="000A2C40">
            <w:pPr>
              <w:jc w:val="center"/>
              <w:rPr>
                <w:b/>
                <w:color w:val="000000" w:themeColor="text1"/>
                <w:szCs w:val="16"/>
              </w:rPr>
            </w:pPr>
            <w:r w:rsidRPr="00ED172B">
              <w:rPr>
                <w:rFonts w:cs="Arial"/>
                <w:color w:val="000000" w:themeColor="text1"/>
                <w:szCs w:val="16"/>
              </w:rPr>
              <w:t>76.00%</w:t>
            </w:r>
          </w:p>
        </w:tc>
      </w:tr>
    </w:tbl>
    <w:p w14:paraId="558F8EC4" w14:textId="77777777" w:rsidR="000A2C40" w:rsidRDefault="000A2C40">
      <w:pPr>
        <w:rPr>
          <w:b/>
          <w:color w:val="000000" w:themeColor="text1"/>
        </w:rPr>
      </w:pPr>
    </w:p>
    <w:p w14:paraId="7F64CF43"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5B2ED7FC" w14:textId="77777777" w:rsidTr="00986B99">
        <w:trPr>
          <w:trHeight w:val="350"/>
        </w:trPr>
        <w:tc>
          <w:tcPr>
            <w:tcW w:w="666" w:type="pct"/>
            <w:tcBorders>
              <w:bottom w:val="single" w:sz="4" w:space="0" w:color="auto"/>
            </w:tcBorders>
          </w:tcPr>
          <w:p w14:paraId="59704A47"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vAlign w:val="center"/>
          </w:tcPr>
          <w:p w14:paraId="43DE7942" w14:textId="77777777"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vAlign w:val="center"/>
          </w:tcPr>
          <w:p w14:paraId="48DEAF4B" w14:textId="77777777"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7" w:type="pct"/>
            <w:vAlign w:val="center"/>
          </w:tcPr>
          <w:p w14:paraId="21F7B3AE" w14:textId="77777777" w:rsidR="00472221" w:rsidRPr="00ED172B" w:rsidRDefault="002163F2" w:rsidP="00472221">
            <w:pPr>
              <w:jc w:val="center"/>
              <w:rPr>
                <w:b/>
                <w:color w:val="000000" w:themeColor="text1"/>
                <w:szCs w:val="16"/>
              </w:rPr>
            </w:pPr>
            <w:r w:rsidRPr="00ED172B">
              <w:rPr>
                <w:rFonts w:cs="Arial"/>
                <w:b/>
                <w:color w:val="000000" w:themeColor="text1"/>
                <w:szCs w:val="16"/>
              </w:rPr>
              <w:t>2021</w:t>
            </w:r>
          </w:p>
        </w:tc>
        <w:tc>
          <w:tcPr>
            <w:tcW w:w="867" w:type="pct"/>
            <w:vAlign w:val="center"/>
          </w:tcPr>
          <w:p w14:paraId="36B4CF1C" w14:textId="77777777" w:rsidR="00472221" w:rsidRPr="00ED172B" w:rsidRDefault="002163F2" w:rsidP="00472221">
            <w:pPr>
              <w:jc w:val="center"/>
              <w:rPr>
                <w:b/>
                <w:color w:val="000000" w:themeColor="text1"/>
                <w:szCs w:val="16"/>
              </w:rPr>
            </w:pPr>
            <w:r w:rsidRPr="00ED172B">
              <w:rPr>
                <w:rFonts w:cs="Arial"/>
                <w:b/>
                <w:color w:val="000000" w:themeColor="text1"/>
                <w:szCs w:val="16"/>
              </w:rPr>
              <w:t>2022</w:t>
            </w:r>
          </w:p>
        </w:tc>
        <w:tc>
          <w:tcPr>
            <w:tcW w:w="866" w:type="pct"/>
            <w:vAlign w:val="center"/>
          </w:tcPr>
          <w:p w14:paraId="517A4827" w14:textId="77777777" w:rsidR="00472221" w:rsidRPr="00ED172B" w:rsidRDefault="006D43D3" w:rsidP="00472221">
            <w:pPr>
              <w:jc w:val="center"/>
              <w:rPr>
                <w:b/>
                <w:color w:val="000000" w:themeColor="text1"/>
                <w:szCs w:val="16"/>
              </w:rPr>
            </w:pPr>
            <w:r w:rsidRPr="00ED172B">
              <w:rPr>
                <w:rFonts w:cs="Arial"/>
                <w:b/>
                <w:color w:val="000000" w:themeColor="text1"/>
                <w:szCs w:val="16"/>
              </w:rPr>
              <w:t>2023</w:t>
            </w:r>
          </w:p>
        </w:tc>
      </w:tr>
      <w:tr w:rsidR="00ED172B" w:rsidRPr="00ED172B" w14:paraId="326770A6" w14:textId="77777777" w:rsidTr="00986B99">
        <w:trPr>
          <w:trHeight w:val="357"/>
        </w:trPr>
        <w:tc>
          <w:tcPr>
            <w:tcW w:w="666" w:type="pct"/>
          </w:tcPr>
          <w:p w14:paraId="2F20B3E4" w14:textId="77777777"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vAlign w:val="center"/>
          </w:tcPr>
          <w:p w14:paraId="14A20766" w14:textId="77777777" w:rsidR="00D71B7C" w:rsidRPr="00ED172B" w:rsidRDefault="00860830" w:rsidP="00D71B7C">
            <w:pPr>
              <w:jc w:val="center"/>
              <w:rPr>
                <w:color w:val="000000" w:themeColor="text1"/>
                <w:szCs w:val="16"/>
              </w:rPr>
            </w:pPr>
            <w:r w:rsidRPr="00ED172B">
              <w:rPr>
                <w:rFonts w:cs="Arial"/>
                <w:color w:val="000000" w:themeColor="text1"/>
                <w:szCs w:val="16"/>
              </w:rPr>
              <w:t>85.04%</w:t>
            </w:r>
          </w:p>
        </w:tc>
        <w:tc>
          <w:tcPr>
            <w:tcW w:w="867" w:type="pct"/>
            <w:vAlign w:val="center"/>
          </w:tcPr>
          <w:p w14:paraId="2702982B" w14:textId="77777777" w:rsidR="00D71B7C" w:rsidRPr="00ED172B" w:rsidRDefault="00860830" w:rsidP="00D71B7C">
            <w:pPr>
              <w:jc w:val="center"/>
              <w:rPr>
                <w:color w:val="000000" w:themeColor="text1"/>
                <w:szCs w:val="16"/>
              </w:rPr>
            </w:pPr>
            <w:r w:rsidRPr="00ED172B">
              <w:rPr>
                <w:rFonts w:cs="Arial"/>
                <w:color w:val="000000" w:themeColor="text1"/>
                <w:szCs w:val="16"/>
              </w:rPr>
              <w:t>84.00%</w:t>
            </w:r>
          </w:p>
        </w:tc>
        <w:tc>
          <w:tcPr>
            <w:tcW w:w="867" w:type="pct"/>
            <w:vAlign w:val="center"/>
          </w:tcPr>
          <w:p w14:paraId="2994615F" w14:textId="77777777" w:rsidR="00D71B7C" w:rsidRPr="00ED172B" w:rsidRDefault="00860830" w:rsidP="00D71B7C">
            <w:pPr>
              <w:jc w:val="center"/>
              <w:rPr>
                <w:color w:val="000000" w:themeColor="text1"/>
                <w:szCs w:val="16"/>
              </w:rPr>
            </w:pPr>
            <w:r w:rsidRPr="00ED172B">
              <w:rPr>
                <w:rFonts w:cs="Arial"/>
                <w:color w:val="000000" w:themeColor="text1"/>
                <w:szCs w:val="16"/>
              </w:rPr>
              <w:t>84.00%</w:t>
            </w:r>
          </w:p>
        </w:tc>
        <w:tc>
          <w:tcPr>
            <w:tcW w:w="867" w:type="pct"/>
            <w:vAlign w:val="center"/>
          </w:tcPr>
          <w:p w14:paraId="3C683262" w14:textId="77777777" w:rsidR="00D71B7C" w:rsidRPr="00ED172B" w:rsidRDefault="00860830" w:rsidP="00D71B7C">
            <w:pPr>
              <w:jc w:val="center"/>
              <w:rPr>
                <w:color w:val="000000" w:themeColor="text1"/>
                <w:szCs w:val="16"/>
              </w:rPr>
            </w:pPr>
            <w:r w:rsidRPr="00ED172B">
              <w:rPr>
                <w:rFonts w:cs="Arial"/>
                <w:color w:val="000000" w:themeColor="text1"/>
                <w:szCs w:val="16"/>
              </w:rPr>
              <w:t>84.00%</w:t>
            </w:r>
          </w:p>
        </w:tc>
        <w:tc>
          <w:tcPr>
            <w:tcW w:w="866" w:type="pct"/>
            <w:vAlign w:val="center"/>
          </w:tcPr>
          <w:p w14:paraId="0461AE46" w14:textId="77777777" w:rsidR="00D71B7C" w:rsidRPr="00ED172B" w:rsidRDefault="00860830" w:rsidP="00D71B7C">
            <w:pPr>
              <w:jc w:val="center"/>
              <w:rPr>
                <w:color w:val="000000" w:themeColor="text1"/>
                <w:szCs w:val="16"/>
              </w:rPr>
            </w:pPr>
            <w:r w:rsidRPr="00ED172B">
              <w:rPr>
                <w:rFonts w:cs="Arial"/>
                <w:color w:val="000000" w:themeColor="text1"/>
                <w:szCs w:val="16"/>
              </w:rPr>
              <w:t>84.00%</w:t>
            </w:r>
          </w:p>
        </w:tc>
      </w:tr>
      <w:tr w:rsidR="00ED172B" w:rsidRPr="00ED172B" w14:paraId="0D697056" w14:textId="77777777" w:rsidTr="00986B99">
        <w:trPr>
          <w:trHeight w:val="85"/>
        </w:trPr>
        <w:tc>
          <w:tcPr>
            <w:tcW w:w="666" w:type="pct"/>
          </w:tcPr>
          <w:p w14:paraId="45595324"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vAlign w:val="center"/>
          </w:tcPr>
          <w:p w14:paraId="0ED766D2" w14:textId="77777777" w:rsidR="00D71B7C" w:rsidRPr="00ED172B" w:rsidRDefault="00860830" w:rsidP="00D71B7C">
            <w:pPr>
              <w:jc w:val="center"/>
              <w:rPr>
                <w:color w:val="000000" w:themeColor="text1"/>
                <w:szCs w:val="16"/>
              </w:rPr>
            </w:pPr>
            <w:r w:rsidRPr="00ED172B">
              <w:rPr>
                <w:rFonts w:cs="Arial"/>
                <w:color w:val="000000" w:themeColor="text1"/>
                <w:szCs w:val="16"/>
              </w:rPr>
              <w:t>83.29%</w:t>
            </w:r>
          </w:p>
        </w:tc>
        <w:tc>
          <w:tcPr>
            <w:tcW w:w="867" w:type="pct"/>
            <w:vAlign w:val="center"/>
          </w:tcPr>
          <w:p w14:paraId="7890387D" w14:textId="77777777" w:rsidR="00D71B7C" w:rsidRPr="00ED172B" w:rsidRDefault="00860830" w:rsidP="00D71B7C">
            <w:pPr>
              <w:jc w:val="center"/>
              <w:rPr>
                <w:color w:val="000000" w:themeColor="text1"/>
                <w:szCs w:val="16"/>
              </w:rPr>
            </w:pPr>
            <w:r w:rsidRPr="00ED172B">
              <w:rPr>
                <w:rFonts w:cs="Arial"/>
                <w:color w:val="000000" w:themeColor="text1"/>
                <w:szCs w:val="16"/>
              </w:rPr>
              <w:t>78.91%</w:t>
            </w:r>
          </w:p>
        </w:tc>
        <w:tc>
          <w:tcPr>
            <w:tcW w:w="867" w:type="pct"/>
            <w:tcBorders>
              <w:bottom w:val="single" w:sz="4" w:space="0" w:color="auto"/>
            </w:tcBorders>
            <w:vAlign w:val="center"/>
          </w:tcPr>
          <w:p w14:paraId="4FD40813" w14:textId="77777777" w:rsidR="00D71B7C" w:rsidRPr="00ED172B" w:rsidRDefault="00860830" w:rsidP="00D71B7C">
            <w:pPr>
              <w:jc w:val="center"/>
              <w:rPr>
                <w:color w:val="000000" w:themeColor="text1"/>
                <w:szCs w:val="16"/>
              </w:rPr>
            </w:pPr>
            <w:r w:rsidRPr="00ED172B">
              <w:rPr>
                <w:rFonts w:cs="Arial"/>
                <w:color w:val="000000" w:themeColor="text1"/>
                <w:szCs w:val="16"/>
              </w:rPr>
              <w:t>74.04%</w:t>
            </w:r>
          </w:p>
        </w:tc>
        <w:tc>
          <w:tcPr>
            <w:tcW w:w="867" w:type="pct"/>
            <w:tcBorders>
              <w:bottom w:val="single" w:sz="4" w:space="0" w:color="auto"/>
            </w:tcBorders>
            <w:vAlign w:val="center"/>
          </w:tcPr>
          <w:p w14:paraId="144693B3" w14:textId="77777777" w:rsidR="00D71B7C" w:rsidRPr="00ED172B" w:rsidRDefault="00860830" w:rsidP="00D71B7C">
            <w:pPr>
              <w:jc w:val="center"/>
              <w:rPr>
                <w:color w:val="000000" w:themeColor="text1"/>
                <w:szCs w:val="16"/>
              </w:rPr>
            </w:pPr>
            <w:r w:rsidRPr="00ED172B">
              <w:rPr>
                <w:rFonts w:cs="Arial"/>
                <w:color w:val="000000" w:themeColor="text1"/>
                <w:szCs w:val="16"/>
              </w:rPr>
              <w:t>75.93%</w:t>
            </w:r>
          </w:p>
        </w:tc>
        <w:tc>
          <w:tcPr>
            <w:tcW w:w="866" w:type="pct"/>
            <w:tcBorders>
              <w:bottom w:val="single" w:sz="4" w:space="0" w:color="auto"/>
            </w:tcBorders>
            <w:vAlign w:val="center"/>
          </w:tcPr>
          <w:p w14:paraId="729D08D9" w14:textId="77777777" w:rsidR="00D71B7C" w:rsidRPr="00ED172B" w:rsidRDefault="00860830" w:rsidP="00D71B7C">
            <w:pPr>
              <w:jc w:val="center"/>
              <w:rPr>
                <w:color w:val="000000" w:themeColor="text1"/>
                <w:szCs w:val="16"/>
              </w:rPr>
            </w:pPr>
            <w:r w:rsidRPr="00ED172B">
              <w:rPr>
                <w:rFonts w:cs="Arial"/>
                <w:color w:val="000000" w:themeColor="text1"/>
                <w:szCs w:val="16"/>
              </w:rPr>
              <w:t>74.59%</w:t>
            </w:r>
          </w:p>
        </w:tc>
      </w:tr>
    </w:tbl>
    <w:p w14:paraId="21073E54" w14:textId="77777777" w:rsidR="00B312CC" w:rsidRPr="00ED172B" w:rsidRDefault="00B312CC">
      <w:pPr>
        <w:rPr>
          <w:b/>
          <w:color w:val="000000" w:themeColor="text1"/>
        </w:rPr>
      </w:pPr>
      <w:r w:rsidRPr="00ED172B">
        <w:rPr>
          <w:b/>
          <w:color w:val="000000" w:themeColor="text1"/>
        </w:rPr>
        <w:t>Targets</w:t>
      </w:r>
    </w:p>
    <w:tbl>
      <w:tblPr>
        <w:tblW w:w="1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30"/>
        <w:gridCol w:w="1676"/>
        <w:gridCol w:w="1677"/>
      </w:tblGrid>
      <w:tr w:rsidR="00CF59E2" w:rsidRPr="00ED172B" w14:paraId="115AD998" w14:textId="77777777" w:rsidTr="00811738">
        <w:trPr>
          <w:trHeight w:val="350"/>
        </w:trPr>
        <w:tc>
          <w:tcPr>
            <w:tcW w:w="893" w:type="pct"/>
            <w:tcBorders>
              <w:bottom w:val="single" w:sz="4" w:space="0" w:color="auto"/>
            </w:tcBorders>
          </w:tcPr>
          <w:p w14:paraId="2DEEE100" w14:textId="77777777" w:rsidR="00CF59E2" w:rsidRPr="00ED172B" w:rsidRDefault="00CF59E2" w:rsidP="003546A3">
            <w:pPr>
              <w:jc w:val="center"/>
              <w:rPr>
                <w:b/>
                <w:color w:val="000000" w:themeColor="text1"/>
                <w:szCs w:val="16"/>
              </w:rPr>
            </w:pPr>
            <w:r w:rsidRPr="00ED172B">
              <w:rPr>
                <w:b/>
                <w:color w:val="000000" w:themeColor="text1"/>
                <w:szCs w:val="16"/>
              </w:rPr>
              <w:t>FFY</w:t>
            </w:r>
          </w:p>
        </w:tc>
        <w:tc>
          <w:tcPr>
            <w:tcW w:w="2053" w:type="pct"/>
            <w:vAlign w:val="center"/>
          </w:tcPr>
          <w:p w14:paraId="403A9797" w14:textId="77777777" w:rsidR="00CF59E2" w:rsidRPr="00ED172B" w:rsidRDefault="00CF59E2" w:rsidP="003546A3">
            <w:pPr>
              <w:jc w:val="center"/>
              <w:rPr>
                <w:b/>
                <w:color w:val="000000" w:themeColor="text1"/>
                <w:szCs w:val="16"/>
              </w:rPr>
            </w:pPr>
            <w:r w:rsidRPr="00ED172B">
              <w:rPr>
                <w:rFonts w:cs="Arial"/>
                <w:b/>
                <w:color w:val="000000" w:themeColor="text1"/>
                <w:szCs w:val="16"/>
              </w:rPr>
              <w:t>2024</w:t>
            </w:r>
          </w:p>
        </w:tc>
        <w:tc>
          <w:tcPr>
            <w:tcW w:w="2054" w:type="pct"/>
          </w:tcPr>
          <w:p w14:paraId="22D6467C" w14:textId="77777777" w:rsidR="00CF59E2" w:rsidRPr="00ED172B" w:rsidRDefault="00CF59E2" w:rsidP="003546A3">
            <w:pPr>
              <w:jc w:val="center"/>
              <w:rPr>
                <w:rFonts w:cs="Arial"/>
                <w:b/>
                <w:color w:val="000000" w:themeColor="text1"/>
                <w:szCs w:val="16"/>
              </w:rPr>
            </w:pPr>
            <w:r>
              <w:rPr>
                <w:rFonts w:cs="Arial"/>
                <w:b/>
                <w:color w:val="000000" w:themeColor="text1"/>
                <w:szCs w:val="16"/>
              </w:rPr>
              <w:t>2025</w:t>
            </w:r>
          </w:p>
        </w:tc>
      </w:tr>
      <w:tr w:rsidR="00CF59E2" w:rsidRPr="00ED172B" w14:paraId="0C9CF4CA" w14:textId="77777777" w:rsidTr="00811738">
        <w:trPr>
          <w:trHeight w:val="357"/>
        </w:trPr>
        <w:tc>
          <w:tcPr>
            <w:tcW w:w="893" w:type="pct"/>
          </w:tcPr>
          <w:p w14:paraId="655A47D3" w14:textId="77777777" w:rsidR="00CF59E2" w:rsidRPr="00ED172B" w:rsidRDefault="00CF59E2" w:rsidP="00D21F29">
            <w:pPr>
              <w:jc w:val="center"/>
              <w:rPr>
                <w:color w:val="000000" w:themeColor="text1"/>
                <w:szCs w:val="16"/>
              </w:rPr>
            </w:pPr>
            <w:r w:rsidRPr="00ED172B">
              <w:rPr>
                <w:color w:val="000000" w:themeColor="text1"/>
                <w:szCs w:val="16"/>
              </w:rPr>
              <w:t>Target&gt;=</w:t>
            </w:r>
          </w:p>
        </w:tc>
        <w:tc>
          <w:tcPr>
            <w:tcW w:w="2053" w:type="pct"/>
            <w:vAlign w:val="center"/>
          </w:tcPr>
          <w:p w14:paraId="53825EEA" w14:textId="77777777" w:rsidR="00CF59E2" w:rsidRPr="00ED172B" w:rsidRDefault="00CF59E2" w:rsidP="00573310">
            <w:pPr>
              <w:jc w:val="center"/>
              <w:rPr>
                <w:color w:val="000000" w:themeColor="text1"/>
                <w:szCs w:val="16"/>
              </w:rPr>
            </w:pPr>
            <w:r w:rsidRPr="00ED172B">
              <w:rPr>
                <w:rFonts w:cs="Arial"/>
                <w:color w:val="000000" w:themeColor="text1"/>
                <w:szCs w:val="16"/>
              </w:rPr>
              <w:t>84.00%</w:t>
            </w:r>
          </w:p>
        </w:tc>
        <w:tc>
          <w:tcPr>
            <w:tcW w:w="2054" w:type="pct"/>
          </w:tcPr>
          <w:p w14:paraId="4B801B1D" w14:textId="77777777" w:rsidR="00CF59E2" w:rsidRPr="00ED172B" w:rsidRDefault="00CF59E2" w:rsidP="00573310">
            <w:pPr>
              <w:jc w:val="center"/>
              <w:rPr>
                <w:rFonts w:cs="Arial"/>
                <w:color w:val="000000" w:themeColor="text1"/>
                <w:szCs w:val="16"/>
              </w:rPr>
            </w:pPr>
            <w:r>
              <w:rPr>
                <w:rFonts w:cs="Arial"/>
                <w:color w:val="000000" w:themeColor="text1"/>
                <w:szCs w:val="16"/>
              </w:rPr>
              <w:t>84.00%</w:t>
            </w:r>
          </w:p>
        </w:tc>
      </w:tr>
    </w:tbl>
    <w:p w14:paraId="7C67A745" w14:textId="77777777"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2F89039E" w14:textId="77777777" w:rsidR="00F80C9C" w:rsidRDefault="00CF03E0" w:rsidP="00CF03E0">
      <w:pPr>
        <w:rPr>
          <w:color w:val="000000" w:themeColor="text1"/>
        </w:rPr>
      </w:pPr>
      <w:r w:rsidRPr="00ED172B">
        <w:rPr>
          <w:b/>
          <w:color w:val="000000" w:themeColor="text1"/>
        </w:rPr>
        <w:t xml:space="preserve"> </w:t>
      </w:r>
      <w:r w:rsidRPr="00ED172B">
        <w:rPr>
          <w:color w:val="000000" w:themeColor="text1"/>
        </w:rPr>
        <w:t>TEIS incorporates broad stakeholder input when addressing areas of need within the system through multiple channels, including:</w:t>
      </w:r>
    </w:p>
    <w:p w14:paraId="365CA07C" w14:textId="77777777" w:rsidR="007876EE" w:rsidRDefault="007876EE"/>
    <w:p w14:paraId="1A8597F4" w14:textId="77777777" w:rsidR="007876EE" w:rsidRDefault="00000000">
      <w:r>
        <w:rPr>
          <w:color w:val="000000"/>
        </w:rPr>
        <w:t>-State Interagency Coordinating Council (SICC) membership and attending visitors.</w:t>
      </w:r>
    </w:p>
    <w:p w14:paraId="12233C7E" w14:textId="77777777" w:rsidR="007876EE" w:rsidRDefault="00000000">
      <w:r>
        <w:rPr>
          <w:color w:val="000000"/>
        </w:rPr>
        <w:t>-TEIS, EIRA, and Vendor Advisory Councils.</w:t>
      </w:r>
    </w:p>
    <w:p w14:paraId="6CD460DF" w14:textId="77777777" w:rsidR="007876EE" w:rsidRDefault="00000000">
      <w:r>
        <w:rPr>
          <w:color w:val="000000"/>
        </w:rPr>
        <w:t>-Office Hours sessions.</w:t>
      </w:r>
    </w:p>
    <w:p w14:paraId="2A954692" w14:textId="77777777" w:rsidR="007876EE" w:rsidRDefault="00000000">
      <w:r>
        <w:rPr>
          <w:color w:val="000000"/>
        </w:rPr>
        <w:t>-Feedback from family surveys, advocacy groups, and local engagement efforts.</w:t>
      </w:r>
    </w:p>
    <w:p w14:paraId="3BC116BF" w14:textId="77777777" w:rsidR="007876EE" w:rsidRDefault="007876EE"/>
    <w:p w14:paraId="799270B4" w14:textId="77777777" w:rsidR="007876EE" w:rsidRDefault="00000000">
      <w:r>
        <w:rPr>
          <w:color w:val="000000"/>
        </w:rPr>
        <w:t>The TEIS website and department newsletter provide stakeholders with consistent updates on program activities and service delivery.</w:t>
      </w:r>
    </w:p>
    <w:p w14:paraId="01FAA8FF" w14:textId="77777777" w:rsidR="007876EE" w:rsidRDefault="007876EE"/>
    <w:p w14:paraId="0831FF01" w14:textId="77777777" w:rsidR="007876EE" w:rsidRDefault="00000000">
      <w:r>
        <w:rPr>
          <w:color w:val="000000"/>
        </w:rPr>
        <w:t>State Interagency Coordinating Council (SICC)</w:t>
      </w:r>
    </w:p>
    <w:p w14:paraId="01107DF8"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70BD4AD4" w14:textId="77777777" w:rsidR="007876EE" w:rsidRDefault="007876EE"/>
    <w:p w14:paraId="28EC9D5C" w14:textId="77777777" w:rsidR="007876EE" w:rsidRDefault="00000000">
      <w:r>
        <w:rPr>
          <w:color w:val="000000"/>
        </w:rPr>
        <w:t>Meetings are open to the public, and agenda topics can be submitted via the TEIS website. Topics addressed in 2024-25 included:</w:t>
      </w:r>
    </w:p>
    <w:p w14:paraId="185D9197" w14:textId="77777777" w:rsidR="007876EE" w:rsidRDefault="00000000">
      <w:r>
        <w:rPr>
          <w:color w:val="000000"/>
        </w:rPr>
        <w:t>-HOPE Family Survey results and feedback.</w:t>
      </w:r>
    </w:p>
    <w:p w14:paraId="58A7060D" w14:textId="77777777" w:rsidR="007876EE" w:rsidRDefault="00000000">
      <w:r>
        <w:rPr>
          <w:color w:val="000000"/>
        </w:rPr>
        <w:t>-Results Monitoring.</w:t>
      </w:r>
    </w:p>
    <w:p w14:paraId="1AA00368" w14:textId="77777777" w:rsidR="007876EE" w:rsidRDefault="00000000">
      <w:r>
        <w:rPr>
          <w:color w:val="000000"/>
        </w:rPr>
        <w:t>-TEIS Central Office team functions.</w:t>
      </w:r>
    </w:p>
    <w:p w14:paraId="07AF68BA" w14:textId="77777777" w:rsidR="007876EE" w:rsidRDefault="00000000">
      <w:r>
        <w:rPr>
          <w:color w:val="000000"/>
        </w:rPr>
        <w:t>-POE initiatives and regional goals.</w:t>
      </w:r>
    </w:p>
    <w:p w14:paraId="6F516708" w14:textId="77777777" w:rsidR="007876EE" w:rsidRDefault="00000000">
      <w:r>
        <w:rPr>
          <w:color w:val="000000"/>
        </w:rPr>
        <w:t>-Other program updates.</w:t>
      </w:r>
    </w:p>
    <w:p w14:paraId="20EA9857" w14:textId="77777777" w:rsidR="007876EE" w:rsidRDefault="007876EE"/>
    <w:p w14:paraId="62E313F3" w14:textId="77777777" w:rsidR="007876EE" w:rsidRDefault="00000000">
      <w:r>
        <w:rPr>
          <w:color w:val="000000"/>
        </w:rPr>
        <w:t>Additionally, SICC provided direct feedback to OSEP during Tennessee’s DMS 2.0 audit.</w:t>
      </w:r>
    </w:p>
    <w:p w14:paraId="3C814305" w14:textId="77777777" w:rsidR="007876EE" w:rsidRDefault="007876EE"/>
    <w:p w14:paraId="45F4E651" w14:textId="77777777" w:rsidR="007876EE" w:rsidRDefault="00000000">
      <w:r>
        <w:rPr>
          <w:color w:val="000000"/>
        </w:rPr>
        <w:t>Advisory Councils</w:t>
      </w:r>
    </w:p>
    <w:p w14:paraId="5F34808C" w14:textId="77777777" w:rsidR="007876EE" w:rsidRDefault="00000000">
      <w:r>
        <w:rPr>
          <w:color w:val="000000"/>
        </w:rPr>
        <w:t>Two advisory councils serve as key feedback channels:</w:t>
      </w:r>
    </w:p>
    <w:p w14:paraId="7C3473DD" w14:textId="77777777" w:rsidR="007876EE" w:rsidRDefault="00000000">
      <w:r>
        <w:rPr>
          <w:color w:val="000000"/>
        </w:rPr>
        <w:lastRenderedPageBreak/>
        <w:t>-Early Intervention Resource Agency (EIRA) Advisory Council – Agencies providing developmental therapy.</w:t>
      </w:r>
    </w:p>
    <w:p w14:paraId="034DF2E7" w14:textId="77777777" w:rsidR="007876EE" w:rsidRDefault="00000000">
      <w:r>
        <w:rPr>
          <w:color w:val="000000"/>
        </w:rPr>
        <w:t>-Vendor Advisory Council – Agencies providing therapy services (speech, physical, occupational).</w:t>
      </w:r>
    </w:p>
    <w:p w14:paraId="606C4715" w14:textId="77777777" w:rsidR="007876EE" w:rsidRDefault="007876EE"/>
    <w:p w14:paraId="34EFCF31" w14:textId="77777777" w:rsidR="007876EE" w:rsidRDefault="00000000">
      <w:r>
        <w:rPr>
          <w:color w:val="000000"/>
        </w:rPr>
        <w:t>Updates from both councils are shared at quarterly SICC meetings. Membership includes contracted EIS provider agencies.</w:t>
      </w:r>
    </w:p>
    <w:p w14:paraId="6EEC5E1E" w14:textId="77777777" w:rsidR="007876EE" w:rsidRDefault="007876EE"/>
    <w:p w14:paraId="7CE3A47F" w14:textId="77777777" w:rsidR="007876EE" w:rsidRDefault="00000000">
      <w:r>
        <w:rPr>
          <w:color w:val="000000"/>
        </w:rPr>
        <w:t>EIRA Advisory Council focuses on:</w:t>
      </w:r>
    </w:p>
    <w:p w14:paraId="442AA93A" w14:textId="77777777" w:rsidR="007876EE" w:rsidRDefault="00000000">
      <w:r>
        <w:rPr>
          <w:color w:val="000000"/>
        </w:rPr>
        <w:t>-Improving services for children and families.</w:t>
      </w:r>
    </w:p>
    <w:p w14:paraId="33AAF11C" w14:textId="77777777" w:rsidR="007876EE" w:rsidRDefault="00000000">
      <w:r>
        <w:rPr>
          <w:color w:val="000000"/>
        </w:rPr>
        <w:t>-Increasing access to services statewide.</w:t>
      </w:r>
    </w:p>
    <w:p w14:paraId="3FF08D3F" w14:textId="77777777" w:rsidR="007876EE" w:rsidRDefault="00000000">
      <w:r>
        <w:rPr>
          <w:color w:val="000000"/>
        </w:rPr>
        <w:t>-Enhancing communication between TEIS and EIRAs.</w:t>
      </w:r>
    </w:p>
    <w:p w14:paraId="0A678E12" w14:textId="77777777" w:rsidR="007876EE" w:rsidRDefault="007876EE"/>
    <w:p w14:paraId="41C1F665"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491660D3" w14:textId="77777777" w:rsidR="007876EE" w:rsidRDefault="007876EE"/>
    <w:p w14:paraId="7A8D5A36" w14:textId="77777777" w:rsidR="007876EE" w:rsidRDefault="00000000">
      <w:r>
        <w:rPr>
          <w:color w:val="000000"/>
        </w:rPr>
        <w:t>Vendor Advisory Council collaborates on:</w:t>
      </w:r>
    </w:p>
    <w:p w14:paraId="1BCAC879" w14:textId="77777777" w:rsidR="007876EE" w:rsidRDefault="00000000">
      <w:r>
        <w:rPr>
          <w:color w:val="000000"/>
        </w:rPr>
        <w:t>-Issues impacting therapy vendors.</w:t>
      </w:r>
    </w:p>
    <w:p w14:paraId="4D79915D" w14:textId="77777777" w:rsidR="007876EE" w:rsidRDefault="00000000">
      <w:r>
        <w:rPr>
          <w:color w:val="000000"/>
        </w:rPr>
        <w:t>-Streamlining billing and business processes.</w:t>
      </w:r>
    </w:p>
    <w:p w14:paraId="4BCA7A98" w14:textId="77777777" w:rsidR="007876EE" w:rsidRDefault="00000000">
      <w:r>
        <w:rPr>
          <w:color w:val="000000"/>
        </w:rPr>
        <w:t>-Improving IFSP teaming in partnership with the EIRA Advisory Council.</w:t>
      </w:r>
    </w:p>
    <w:p w14:paraId="31CE02F2" w14:textId="77777777" w:rsidR="007876EE" w:rsidRDefault="007876EE"/>
    <w:p w14:paraId="4753BCB4" w14:textId="77777777" w:rsidR="007876EE" w:rsidRDefault="00000000">
      <w:r>
        <w:rPr>
          <w:color w:val="000000"/>
        </w:rPr>
        <w:t>Council Structure</w:t>
      </w:r>
    </w:p>
    <w:p w14:paraId="727B2778"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79A61DE0" w14:textId="77777777" w:rsidR="007876EE" w:rsidRDefault="007876EE"/>
    <w:p w14:paraId="74D5212B" w14:textId="77777777" w:rsidR="007876EE" w:rsidRDefault="00000000">
      <w:r>
        <w:rPr>
          <w:color w:val="000000"/>
        </w:rPr>
        <w:t>Office Hours</w:t>
      </w:r>
    </w:p>
    <w:p w14:paraId="2F666622"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0668F568" w14:textId="77777777" w:rsidR="007876EE" w:rsidRDefault="007876EE"/>
    <w:p w14:paraId="039B3C19" w14:textId="77777777" w:rsidR="007876EE" w:rsidRDefault="00000000">
      <w:r>
        <w:rPr>
          <w:color w:val="000000"/>
        </w:rPr>
        <w:t>Parent Engagement</w:t>
      </w:r>
    </w:p>
    <w:p w14:paraId="755D5017" w14:textId="77777777" w:rsidR="007876EE" w:rsidRDefault="00000000">
      <w:r>
        <w:rPr>
          <w:color w:val="000000"/>
        </w:rPr>
        <w:t>Stakeholder engagement activities—along with professional development and technical assistance—help build the capacity of parents through:</w:t>
      </w:r>
    </w:p>
    <w:p w14:paraId="17D6675D" w14:textId="77777777" w:rsidR="007876EE" w:rsidRDefault="00000000">
      <w:r>
        <w:rPr>
          <w:color w:val="000000"/>
        </w:rPr>
        <w:t>-Direct engagement: Participation in SICC or local councils, training sessions, surveys, and direct communication with TEIS leadership.</w:t>
      </w:r>
    </w:p>
    <w:p w14:paraId="17480892" w14:textId="77777777" w:rsidR="007876EE" w:rsidRDefault="00000000">
      <w:r>
        <w:rPr>
          <w:color w:val="000000"/>
        </w:rPr>
        <w:t>-Indirect engagement: Training and monitoring systems that strengthen IFSP team members’ knowledge and skills, benefiting children and families.</w:t>
      </w:r>
    </w:p>
    <w:p w14:paraId="417D7BD7" w14:textId="77777777" w:rsidR="00AE7452" w:rsidRPr="00ED172B" w:rsidRDefault="00AE7452" w:rsidP="00B83404">
      <w:pPr>
        <w:rPr>
          <w:color w:val="000000" w:themeColor="text1"/>
        </w:rPr>
      </w:pPr>
    </w:p>
    <w:p w14:paraId="0604C6CB"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154096EB" w14:textId="77777777" w:rsidTr="00986B99">
        <w:trPr>
          <w:trHeight w:val="372"/>
          <w:tblHeader/>
        </w:trPr>
        <w:tc>
          <w:tcPr>
            <w:tcW w:w="1207" w:type="pct"/>
          </w:tcPr>
          <w:p w14:paraId="004B0B81"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tcPr>
          <w:p w14:paraId="5A04F85A"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tcPr>
          <w:p w14:paraId="0BB88026"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tcPr>
          <w:p w14:paraId="4018DF70"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26A1603B" w14:textId="77777777" w:rsidTr="00986B99">
        <w:trPr>
          <w:trHeight w:val="380"/>
        </w:trPr>
        <w:tc>
          <w:tcPr>
            <w:tcW w:w="1207" w:type="pct"/>
            <w:vAlign w:val="center"/>
          </w:tcPr>
          <w:p w14:paraId="69EA76EE" w14:textId="77777777" w:rsidR="006111D4" w:rsidRPr="00ED172B" w:rsidRDefault="00753E04" w:rsidP="006111D4">
            <w:pPr>
              <w:jc w:val="center"/>
              <w:rPr>
                <w:color w:val="000000" w:themeColor="text1"/>
                <w:szCs w:val="16"/>
              </w:rPr>
            </w:pPr>
            <w:r w:rsidRPr="00ED172B">
              <w:rPr>
                <w:rFonts w:cs="Arial"/>
                <w:color w:val="000000" w:themeColor="text1"/>
                <w:szCs w:val="16"/>
              </w:rPr>
              <w:t>SY 2024-25 IDEA Part C Child Count - Infants and Toddlers with Disabilities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FS902; Data group 5023)</w:t>
            </w:r>
          </w:p>
        </w:tc>
        <w:tc>
          <w:tcPr>
            <w:tcW w:w="1460" w:type="pct"/>
          </w:tcPr>
          <w:p w14:paraId="62E18630" w14:textId="77777777" w:rsidR="006111D4" w:rsidRPr="00ED172B" w:rsidRDefault="00753E04" w:rsidP="006111D4">
            <w:pPr>
              <w:jc w:val="center"/>
              <w:rPr>
                <w:rFonts w:cs="Arial"/>
                <w:color w:val="000000" w:themeColor="text1"/>
                <w:szCs w:val="16"/>
              </w:rPr>
            </w:pPr>
            <w:r w:rsidRPr="00ED172B">
              <w:rPr>
                <w:rFonts w:cs="Arial"/>
                <w:color w:val="000000" w:themeColor="text1"/>
                <w:szCs w:val="16"/>
              </w:rPr>
              <w:t>07/30/2025</w:t>
            </w:r>
          </w:p>
        </w:tc>
        <w:tc>
          <w:tcPr>
            <w:tcW w:w="1487" w:type="pct"/>
          </w:tcPr>
          <w:p w14:paraId="00E5D7B4" w14:textId="77777777"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tcPr>
          <w:p w14:paraId="0C90B5F6" w14:textId="77777777" w:rsidR="006111D4" w:rsidRPr="00ED172B" w:rsidRDefault="00860830" w:rsidP="006111D4">
            <w:pPr>
              <w:jc w:val="center"/>
              <w:rPr>
                <w:color w:val="000000" w:themeColor="text1"/>
                <w:szCs w:val="16"/>
              </w:rPr>
            </w:pPr>
            <w:r w:rsidRPr="00ED172B">
              <w:rPr>
                <w:color w:val="000000" w:themeColor="text1"/>
                <w:szCs w:val="16"/>
              </w:rPr>
              <w:t>7,273</w:t>
            </w:r>
          </w:p>
        </w:tc>
      </w:tr>
      <w:tr w:rsidR="00ED172B" w:rsidRPr="00ED172B" w14:paraId="57C13B37" w14:textId="77777777" w:rsidTr="00986B99">
        <w:trPr>
          <w:trHeight w:val="380"/>
        </w:trPr>
        <w:tc>
          <w:tcPr>
            <w:tcW w:w="1207" w:type="pct"/>
            <w:vAlign w:val="center"/>
          </w:tcPr>
          <w:p w14:paraId="17F58FD0" w14:textId="77777777" w:rsidR="00F32B6D" w:rsidRPr="00ED172B" w:rsidRDefault="00753E04" w:rsidP="00F32B6D">
            <w:pPr>
              <w:jc w:val="center"/>
              <w:rPr>
                <w:color w:val="000000" w:themeColor="text1"/>
                <w:szCs w:val="16"/>
              </w:rPr>
            </w:pPr>
            <w:r w:rsidRPr="00ED172B">
              <w:rPr>
                <w:rFonts w:cs="Arial"/>
                <w:color w:val="000000" w:themeColor="text1"/>
                <w:szCs w:val="16"/>
              </w:rPr>
              <w:t>SY 2024-25 IDEA Part C Child Count - Infants and Toddlers with Disabilities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FS902; Data group 5023)</w:t>
            </w:r>
          </w:p>
        </w:tc>
        <w:tc>
          <w:tcPr>
            <w:tcW w:w="1460" w:type="pct"/>
          </w:tcPr>
          <w:p w14:paraId="429AEEA0" w14:textId="77777777" w:rsidR="00F32B6D" w:rsidRPr="00ED172B" w:rsidRDefault="00753E04" w:rsidP="00F32B6D">
            <w:pPr>
              <w:jc w:val="center"/>
              <w:rPr>
                <w:color w:val="000000" w:themeColor="text1"/>
                <w:szCs w:val="16"/>
              </w:rPr>
            </w:pPr>
            <w:r w:rsidRPr="00ED172B">
              <w:rPr>
                <w:rFonts w:cs="Arial"/>
                <w:color w:val="000000" w:themeColor="text1"/>
                <w:szCs w:val="16"/>
              </w:rPr>
              <w:t>07/30/2025</w:t>
            </w:r>
          </w:p>
        </w:tc>
        <w:tc>
          <w:tcPr>
            <w:tcW w:w="1487" w:type="pct"/>
          </w:tcPr>
          <w:p w14:paraId="4CC139F7" w14:textId="77777777"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vAlign w:val="center"/>
          </w:tcPr>
          <w:p w14:paraId="2BD9A5FA" w14:textId="77777777" w:rsidR="00F32B6D" w:rsidRPr="00ED172B" w:rsidRDefault="00860830" w:rsidP="00F32B6D">
            <w:pPr>
              <w:jc w:val="center"/>
              <w:rPr>
                <w:color w:val="000000" w:themeColor="text1"/>
                <w:szCs w:val="16"/>
              </w:rPr>
            </w:pPr>
            <w:r w:rsidRPr="00ED172B">
              <w:rPr>
                <w:color w:val="000000" w:themeColor="text1"/>
                <w:szCs w:val="16"/>
              </w:rPr>
              <w:t>9,892</w:t>
            </w:r>
          </w:p>
        </w:tc>
      </w:tr>
    </w:tbl>
    <w:p w14:paraId="2B098D31" w14:textId="77777777" w:rsidR="006628E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9"/>
        <w:gridCol w:w="1268"/>
        <w:gridCol w:w="1893"/>
        <w:gridCol w:w="1140"/>
        <w:gridCol w:w="1444"/>
        <w:gridCol w:w="1399"/>
      </w:tblGrid>
      <w:tr w:rsidR="00ED172B" w:rsidRPr="00ED172B" w14:paraId="7344E2AD" w14:textId="77777777" w:rsidTr="00986B99">
        <w:trPr>
          <w:trHeight w:val="359"/>
          <w:tblHeader/>
        </w:trPr>
        <w:tc>
          <w:tcPr>
            <w:tcW w:w="834" w:type="pct"/>
            <w:vAlign w:val="bottom"/>
          </w:tcPr>
          <w:p w14:paraId="287A4CF8" w14:textId="77777777"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vAlign w:val="bottom"/>
          </w:tcPr>
          <w:p w14:paraId="76E79A76" w14:textId="7777777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vAlign w:val="bottom"/>
          </w:tcPr>
          <w:p w14:paraId="2E1D8EF0" w14:textId="77777777" w:rsidR="00B605F5" w:rsidRPr="00ED172B" w:rsidRDefault="00CD74B5" w:rsidP="00B605F5">
            <w:pPr>
              <w:jc w:val="center"/>
              <w:rPr>
                <w:b/>
                <w:color w:val="000000" w:themeColor="text1"/>
                <w:szCs w:val="16"/>
              </w:rPr>
            </w:pPr>
            <w:r>
              <w:rPr>
                <w:rFonts w:cs="Arial"/>
                <w:b/>
                <w:color w:val="000000" w:themeColor="text1"/>
                <w:szCs w:val="16"/>
              </w:rPr>
              <w:t>FFY 2023 Data</w:t>
            </w:r>
          </w:p>
        </w:tc>
        <w:tc>
          <w:tcPr>
            <w:tcW w:w="877" w:type="pct"/>
            <w:vAlign w:val="bottom"/>
          </w:tcPr>
          <w:p w14:paraId="3F016095" w14:textId="77777777" w:rsidR="00B605F5" w:rsidRPr="00ED172B" w:rsidRDefault="00F22D09" w:rsidP="00B605F5">
            <w:pPr>
              <w:jc w:val="center"/>
              <w:rPr>
                <w:b/>
                <w:color w:val="000000" w:themeColor="text1"/>
                <w:szCs w:val="16"/>
              </w:rPr>
            </w:pPr>
            <w:r>
              <w:rPr>
                <w:rFonts w:cs="Arial"/>
                <w:b/>
                <w:color w:val="000000" w:themeColor="text1"/>
                <w:szCs w:val="16"/>
              </w:rPr>
              <w:t>FFY 2024 Target</w:t>
            </w:r>
          </w:p>
        </w:tc>
        <w:tc>
          <w:tcPr>
            <w:tcW w:w="528" w:type="pct"/>
            <w:vAlign w:val="bottom"/>
          </w:tcPr>
          <w:p w14:paraId="32E31457" w14:textId="77777777" w:rsidR="00B605F5" w:rsidRPr="00ED172B" w:rsidRDefault="00F22D09" w:rsidP="00B605F5">
            <w:pPr>
              <w:jc w:val="center"/>
              <w:rPr>
                <w:b/>
                <w:color w:val="000000" w:themeColor="text1"/>
                <w:szCs w:val="16"/>
              </w:rPr>
            </w:pPr>
            <w:r>
              <w:rPr>
                <w:rFonts w:cs="Arial"/>
                <w:b/>
                <w:color w:val="000000" w:themeColor="text1"/>
                <w:szCs w:val="16"/>
              </w:rPr>
              <w:t>FFY 2024 Data</w:t>
            </w:r>
          </w:p>
        </w:tc>
        <w:tc>
          <w:tcPr>
            <w:tcW w:w="669" w:type="pct"/>
            <w:vAlign w:val="bottom"/>
          </w:tcPr>
          <w:p w14:paraId="4C9009C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vAlign w:val="bottom"/>
          </w:tcPr>
          <w:p w14:paraId="4CD3C54C"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5F79E008" w14:textId="77777777" w:rsidTr="00986B99">
        <w:trPr>
          <w:trHeight w:val="366"/>
        </w:trPr>
        <w:tc>
          <w:tcPr>
            <w:tcW w:w="834" w:type="pct"/>
            <w:vAlign w:val="center"/>
          </w:tcPr>
          <w:p w14:paraId="34B90088" w14:textId="77777777" w:rsidR="00650CF7" w:rsidRPr="00ED172B" w:rsidRDefault="00860830" w:rsidP="00694144">
            <w:pPr>
              <w:jc w:val="center"/>
              <w:rPr>
                <w:color w:val="000000" w:themeColor="text1"/>
                <w:szCs w:val="16"/>
              </w:rPr>
            </w:pPr>
            <w:r w:rsidRPr="00ED172B">
              <w:rPr>
                <w:color w:val="000000" w:themeColor="text1"/>
                <w:szCs w:val="16"/>
              </w:rPr>
              <w:t>7,273</w:t>
            </w:r>
          </w:p>
        </w:tc>
        <w:tc>
          <w:tcPr>
            <w:tcW w:w="856" w:type="pct"/>
            <w:vAlign w:val="center"/>
          </w:tcPr>
          <w:p w14:paraId="38563AA6" w14:textId="77777777" w:rsidR="00650CF7" w:rsidRPr="00ED172B" w:rsidRDefault="00860830" w:rsidP="00694144">
            <w:pPr>
              <w:jc w:val="center"/>
              <w:rPr>
                <w:color w:val="000000" w:themeColor="text1"/>
                <w:szCs w:val="16"/>
              </w:rPr>
            </w:pPr>
            <w:r w:rsidRPr="00ED172B">
              <w:rPr>
                <w:color w:val="000000" w:themeColor="text1"/>
                <w:szCs w:val="16"/>
              </w:rPr>
              <w:t>9,892</w:t>
            </w:r>
          </w:p>
        </w:tc>
        <w:tc>
          <w:tcPr>
            <w:tcW w:w="587" w:type="pct"/>
            <w:vAlign w:val="center"/>
          </w:tcPr>
          <w:p w14:paraId="5F14B297" w14:textId="77777777" w:rsidR="00650CF7" w:rsidRPr="00ED172B" w:rsidRDefault="00860830" w:rsidP="00694144">
            <w:pPr>
              <w:jc w:val="center"/>
              <w:rPr>
                <w:color w:val="000000" w:themeColor="text1"/>
                <w:szCs w:val="16"/>
              </w:rPr>
            </w:pPr>
            <w:r w:rsidRPr="00ED172B">
              <w:rPr>
                <w:rFonts w:cs="Arial"/>
                <w:color w:val="000000" w:themeColor="text1"/>
                <w:szCs w:val="16"/>
              </w:rPr>
              <w:t>74.59%</w:t>
            </w:r>
          </w:p>
        </w:tc>
        <w:tc>
          <w:tcPr>
            <w:tcW w:w="877" w:type="pct"/>
            <w:vAlign w:val="center"/>
          </w:tcPr>
          <w:p w14:paraId="38144537" w14:textId="77777777" w:rsidR="00650CF7" w:rsidRPr="00ED172B" w:rsidRDefault="00860830" w:rsidP="00694144">
            <w:pPr>
              <w:jc w:val="center"/>
              <w:rPr>
                <w:color w:val="000000" w:themeColor="text1"/>
                <w:szCs w:val="16"/>
              </w:rPr>
            </w:pPr>
            <w:r w:rsidRPr="00ED172B">
              <w:rPr>
                <w:rFonts w:cs="Arial"/>
                <w:color w:val="000000" w:themeColor="text1"/>
                <w:szCs w:val="16"/>
              </w:rPr>
              <w:t>84.00%</w:t>
            </w:r>
          </w:p>
        </w:tc>
        <w:tc>
          <w:tcPr>
            <w:tcW w:w="528" w:type="pct"/>
            <w:vAlign w:val="center"/>
          </w:tcPr>
          <w:p w14:paraId="7CB01A35" w14:textId="77777777" w:rsidR="00650CF7" w:rsidRPr="00ED172B" w:rsidRDefault="00860830" w:rsidP="00694144">
            <w:pPr>
              <w:jc w:val="center"/>
              <w:rPr>
                <w:color w:val="000000" w:themeColor="text1"/>
                <w:szCs w:val="16"/>
              </w:rPr>
            </w:pPr>
            <w:r w:rsidRPr="00ED172B">
              <w:rPr>
                <w:rFonts w:cs="Arial"/>
                <w:color w:val="000000" w:themeColor="text1"/>
                <w:szCs w:val="16"/>
              </w:rPr>
              <w:t>73.52%</w:t>
            </w:r>
          </w:p>
        </w:tc>
        <w:tc>
          <w:tcPr>
            <w:tcW w:w="669" w:type="pct"/>
            <w:vAlign w:val="center"/>
          </w:tcPr>
          <w:p w14:paraId="0AEA4B2F" w14:textId="77777777" w:rsidR="00650CF7" w:rsidRPr="00ED172B" w:rsidRDefault="002F5A9E" w:rsidP="00027F39">
            <w:pPr>
              <w:jc w:val="center"/>
              <w:rPr>
                <w:color w:val="000000" w:themeColor="text1"/>
              </w:rPr>
            </w:pPr>
            <w:r w:rsidRPr="00ED172B">
              <w:rPr>
                <w:color w:val="000000" w:themeColor="text1"/>
              </w:rPr>
              <w:t>Did not meet target</w:t>
            </w:r>
          </w:p>
        </w:tc>
        <w:tc>
          <w:tcPr>
            <w:tcW w:w="648" w:type="pct"/>
            <w:vAlign w:val="center"/>
          </w:tcPr>
          <w:p w14:paraId="5952FB27" w14:textId="77777777" w:rsidR="00650CF7" w:rsidRPr="00ED172B" w:rsidRDefault="002F5A9E" w:rsidP="00027F39">
            <w:pPr>
              <w:jc w:val="center"/>
              <w:rPr>
                <w:color w:val="000000" w:themeColor="text1"/>
              </w:rPr>
            </w:pPr>
            <w:r w:rsidRPr="00ED172B">
              <w:rPr>
                <w:color w:val="000000" w:themeColor="text1"/>
              </w:rPr>
              <w:t>Slippage</w:t>
            </w:r>
          </w:p>
        </w:tc>
      </w:tr>
    </w:tbl>
    <w:p w14:paraId="61947D14" w14:textId="77777777" w:rsidR="003A3693" w:rsidRPr="00ED172B" w:rsidRDefault="003A3693" w:rsidP="003A3693">
      <w:pPr>
        <w:rPr>
          <w:rFonts w:cs="Arial"/>
          <w:b/>
          <w:i/>
          <w:color w:val="000000" w:themeColor="text1"/>
          <w:szCs w:val="16"/>
        </w:rPr>
      </w:pPr>
      <w:r w:rsidRPr="00ED172B">
        <w:rPr>
          <w:rFonts w:cs="Arial"/>
          <w:b/>
          <w:color w:val="000000" w:themeColor="text1"/>
          <w:szCs w:val="16"/>
        </w:rPr>
        <w:t xml:space="preserve">Provide reasons for slippage, if applicable. </w:t>
      </w:r>
    </w:p>
    <w:p w14:paraId="188F50DE" w14:textId="77777777" w:rsidR="003A3693" w:rsidRDefault="002F5A9E" w:rsidP="002F5A9E">
      <w:pPr>
        <w:rPr>
          <w:color w:val="000000" w:themeColor="text1"/>
        </w:rPr>
      </w:pPr>
      <w:r w:rsidRPr="00ED172B">
        <w:rPr>
          <w:color w:val="000000" w:themeColor="text1"/>
        </w:rPr>
        <w:t>Since the Lead Agency implemented the TEIS Extended Option in October 2022, TEIS’s overall child count has grown by 33.95%. This option allows the program to continue serving eligible children until they begin school following their fifth birthday.</w:t>
      </w:r>
    </w:p>
    <w:p w14:paraId="4D1E1E01" w14:textId="77777777" w:rsidR="007876EE" w:rsidRDefault="007876EE"/>
    <w:p w14:paraId="1771DF89" w14:textId="77777777" w:rsidR="007876EE" w:rsidRDefault="00000000">
      <w:r>
        <w:rPr>
          <w:color w:val="000000"/>
        </w:rPr>
        <w:t>As of December 1, 2024, there were:</w:t>
      </w:r>
    </w:p>
    <w:p w14:paraId="06995614" w14:textId="77777777" w:rsidR="007876EE" w:rsidRDefault="007876EE"/>
    <w:p w14:paraId="4387DF6F" w14:textId="77777777" w:rsidR="007876EE" w:rsidRDefault="00000000">
      <w:r>
        <w:rPr>
          <w:color w:val="000000"/>
        </w:rPr>
        <w:t>-3,089 children over age three served under the TEIS Extended Option that are not reported in this indicator</w:t>
      </w:r>
    </w:p>
    <w:p w14:paraId="4E937892" w14:textId="77777777" w:rsidR="007876EE" w:rsidRDefault="00000000">
      <w:r>
        <w:rPr>
          <w:color w:val="000000"/>
        </w:rPr>
        <w:lastRenderedPageBreak/>
        <w:t>-12,981 total children served by Tennessee Part C (birth through age five)</w:t>
      </w:r>
    </w:p>
    <w:p w14:paraId="0A854B50" w14:textId="77777777" w:rsidR="007876EE" w:rsidRDefault="007876EE"/>
    <w:p w14:paraId="36A70079" w14:textId="77777777" w:rsidR="007876EE" w:rsidRDefault="00000000">
      <w:r>
        <w:rPr>
          <w:color w:val="000000"/>
        </w:rPr>
        <w:t xml:space="preserve">The increase in child count reflects both the Lead Agency’s child </w:t>
      </w:r>
      <w:proofErr w:type="gramStart"/>
      <w:r>
        <w:rPr>
          <w:color w:val="000000"/>
        </w:rPr>
        <w:t>find</w:t>
      </w:r>
      <w:proofErr w:type="gramEnd"/>
      <w:r>
        <w:rPr>
          <w:color w:val="000000"/>
        </w:rPr>
        <w:t xml:space="preserve"> efforts and the implementation of the TEIS Extended Option. With this growth, the demand for early intervention services has significantly increased statewide.</w:t>
      </w:r>
    </w:p>
    <w:p w14:paraId="3FC9F594" w14:textId="77777777" w:rsidR="007876EE" w:rsidRDefault="007876EE"/>
    <w:p w14:paraId="41DEFD84" w14:textId="77777777" w:rsidR="007876EE" w:rsidRDefault="00000000">
      <w:r>
        <w:rPr>
          <w:color w:val="000000"/>
        </w:rPr>
        <w:t xml:space="preserve">Despite this expansion, TEIS observed only a slight decrease (1.07%) in the percentage of </w:t>
      </w:r>
      <w:proofErr w:type="gramStart"/>
      <w:r>
        <w:rPr>
          <w:color w:val="000000"/>
        </w:rPr>
        <w:t>children ages</w:t>
      </w:r>
      <w:proofErr w:type="gramEnd"/>
      <w:r>
        <w:rPr>
          <w:color w:val="000000"/>
        </w:rPr>
        <w:t xml:space="preserve"> birth to three served in home and community settings under this indicator during FY 2024. TEIS and the Lead Agency continue proactive, ongoing recruitment efforts with early intervention service providers to meet the needs of children and families across Tennessee and ensure timely, high-quality service delivery.</w:t>
      </w:r>
    </w:p>
    <w:p w14:paraId="22B0871F" w14:textId="77777777"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693C85C1" w14:textId="77777777" w:rsidR="003A3693" w:rsidRPr="00ED172B" w:rsidRDefault="003A3693" w:rsidP="003A3693">
      <w:pPr>
        <w:rPr>
          <w:rFonts w:cs="Arial"/>
          <w:color w:val="000000" w:themeColor="text1"/>
          <w:szCs w:val="16"/>
        </w:rPr>
      </w:pPr>
    </w:p>
    <w:p w14:paraId="51E4209E" w14:textId="77777777" w:rsidR="00DC0682" w:rsidRPr="00A40EE1" w:rsidRDefault="000D0117" w:rsidP="005C3FFD">
      <w:pPr>
        <w:pStyle w:val="Heading2"/>
      </w:pPr>
      <w:r w:rsidRPr="00A40EE1">
        <w:t xml:space="preserve">2 - </w:t>
      </w:r>
      <w:r w:rsidR="00DC0682" w:rsidRPr="00A40EE1">
        <w:t>Prior FFY Required Actions</w:t>
      </w:r>
    </w:p>
    <w:p w14:paraId="37C42FA1" w14:textId="77777777" w:rsidR="004C1CEE" w:rsidRPr="00ED172B" w:rsidRDefault="002F5A9E" w:rsidP="00DC0682">
      <w:pPr>
        <w:rPr>
          <w:rFonts w:cs="Arial"/>
          <w:color w:val="000000" w:themeColor="text1"/>
          <w:szCs w:val="16"/>
        </w:rPr>
      </w:pPr>
      <w:r w:rsidRPr="00ED172B">
        <w:rPr>
          <w:color w:val="000000" w:themeColor="text1"/>
        </w:rPr>
        <w:t>None</w:t>
      </w:r>
    </w:p>
    <w:p w14:paraId="7C641258" w14:textId="77777777" w:rsidR="00DC0682" w:rsidRPr="00A40EE1" w:rsidRDefault="000D0117" w:rsidP="005C3FFD">
      <w:pPr>
        <w:pStyle w:val="Heading2"/>
      </w:pPr>
      <w:r w:rsidRPr="00A40EE1">
        <w:t xml:space="preserve">2 - </w:t>
      </w:r>
      <w:r w:rsidR="00DC0682" w:rsidRPr="00A40EE1">
        <w:t>OSEP Response</w:t>
      </w:r>
    </w:p>
    <w:p w14:paraId="2620B886" w14:textId="77777777" w:rsidR="00DC0682" w:rsidRPr="00ED172B" w:rsidRDefault="00DC0682" w:rsidP="002F5A9E">
      <w:pPr>
        <w:rPr>
          <w:color w:val="000000" w:themeColor="text1"/>
        </w:rPr>
      </w:pPr>
    </w:p>
    <w:p w14:paraId="5053BE93" w14:textId="77777777" w:rsidR="00DC0682" w:rsidRPr="00A40EE1" w:rsidRDefault="000D0117" w:rsidP="005C3FFD">
      <w:pPr>
        <w:pStyle w:val="Heading2"/>
      </w:pPr>
      <w:r w:rsidRPr="00A40EE1">
        <w:t xml:space="preserve">2 - </w:t>
      </w:r>
      <w:r w:rsidR="00DC0682" w:rsidRPr="00A40EE1">
        <w:t>Required Actions</w:t>
      </w:r>
    </w:p>
    <w:p w14:paraId="37C2FBB3" w14:textId="77777777" w:rsidR="00DC0682" w:rsidRPr="00ED172B" w:rsidRDefault="00DC0682" w:rsidP="002F5A9E">
      <w:pPr>
        <w:rPr>
          <w:color w:val="000000" w:themeColor="text1"/>
        </w:rPr>
      </w:pPr>
    </w:p>
    <w:p w14:paraId="4E3EC3E4"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58EDCEB4" w14:textId="7777777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361FB72B"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79C2B60C"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3DCEEADD"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4614E78B"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A. Positive social-emotional skills (including social relationships</w:t>
      </w:r>
      <w:proofErr w:type="gramStart"/>
      <w:r w:rsidRPr="00ED172B">
        <w:rPr>
          <w:rFonts w:cs="Arial"/>
          <w:color w:val="000000" w:themeColor="text1"/>
          <w:szCs w:val="16"/>
        </w:rPr>
        <w:t>);</w:t>
      </w:r>
      <w:proofErr w:type="gramEnd"/>
      <w:r w:rsidRPr="00ED172B">
        <w:rPr>
          <w:rFonts w:cs="Arial"/>
          <w:color w:val="000000" w:themeColor="text1"/>
          <w:szCs w:val="16"/>
        </w:rPr>
        <w:t xml:space="preserve"> </w:t>
      </w:r>
    </w:p>
    <w:p w14:paraId="2B038F5F"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429FFB1D" w14:textId="77777777"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E716BF1"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3046BF50" w14:textId="77777777" w:rsidR="00F83F88" w:rsidRPr="00ED172B" w:rsidRDefault="00F83F88">
      <w:pPr>
        <w:rPr>
          <w:b/>
          <w:color w:val="000000" w:themeColor="text1"/>
        </w:rPr>
      </w:pPr>
      <w:r w:rsidRPr="00ED172B">
        <w:rPr>
          <w:b/>
          <w:color w:val="000000" w:themeColor="text1"/>
        </w:rPr>
        <w:t>Data Source</w:t>
      </w:r>
    </w:p>
    <w:p w14:paraId="252633D6" w14:textId="77777777"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459F4F11" w14:textId="77777777" w:rsidR="00F83F88" w:rsidRPr="00ED172B" w:rsidRDefault="00F83F88">
      <w:pPr>
        <w:rPr>
          <w:b/>
          <w:color w:val="000000" w:themeColor="text1"/>
        </w:rPr>
      </w:pPr>
      <w:r w:rsidRPr="00ED172B">
        <w:rPr>
          <w:b/>
          <w:color w:val="000000" w:themeColor="text1"/>
        </w:rPr>
        <w:t>Measurement</w:t>
      </w:r>
    </w:p>
    <w:p w14:paraId="0BA90D1B"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6F6874AF"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roofErr w:type="gramStart"/>
      <w:r w:rsidR="005E54D4" w:rsidRPr="00ED172B">
        <w:rPr>
          <w:rFonts w:cs="Arial"/>
          <w:color w:val="000000" w:themeColor="text1"/>
          <w:szCs w:val="16"/>
        </w:rPr>
        <w:t>);</w:t>
      </w:r>
      <w:proofErr w:type="gramEnd"/>
    </w:p>
    <w:p w14:paraId="15516067"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6DEC0896" w14:textId="77777777"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1312530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41085384"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a. Percent of infants and toddlers who did not improve functioning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did not improve functioning)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7778C139"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b. Percent of infants and toddlers who improved functioning but not sufficient to move nearer to functioning comparable to same-aged peers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improved functioning but not sufficient to move nearer to functioning comparable to same-aged peers)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6E99927A"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14954C62"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d. Percent of infants and toddlers who improved functioning to reach a level comparable to same-aged peers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improved functioning to reach a level comparable to same-aged peers)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3E9FFB08" w14:textId="77777777" w:rsidR="00F83F88" w:rsidRPr="00ED172B" w:rsidRDefault="007F55E8" w:rsidP="00ED172B">
      <w:pPr>
        <w:ind w:left="288"/>
        <w:rPr>
          <w:rFonts w:cs="Arial"/>
          <w:color w:val="000000" w:themeColor="text1"/>
          <w:szCs w:val="16"/>
        </w:rPr>
      </w:pPr>
      <w:r w:rsidRPr="00ED172B">
        <w:rPr>
          <w:rFonts w:cs="Arial"/>
          <w:color w:val="000000" w:themeColor="text1"/>
          <w:szCs w:val="16"/>
        </w:rPr>
        <w:t xml:space="preserve">e. Percent of infants and toddlers who maintained functioning at a level comparable to same-aged peers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toddlers who maintained functioning at a level comparable to same-aged peers) divided </w:t>
      </w:r>
      <w:proofErr w:type="gramStart"/>
      <w:r w:rsidRPr="00ED172B">
        <w:rPr>
          <w:rFonts w:cs="Arial"/>
          <w:color w:val="000000" w:themeColor="text1"/>
          <w:szCs w:val="16"/>
        </w:rPr>
        <w:t xml:space="preserve">by (# </w:t>
      </w:r>
      <w:proofErr w:type="gramEnd"/>
      <w:r w:rsidRPr="00ED172B">
        <w:rPr>
          <w:rFonts w:cs="Arial"/>
          <w:color w:val="000000" w:themeColor="text1"/>
          <w:szCs w:val="16"/>
        </w:rPr>
        <w:t>of infants and toddlers with IFSPs assessed)] times 100.</w:t>
      </w:r>
    </w:p>
    <w:p w14:paraId="1A6E3AEC"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11D7417C"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xml:space="preserve"> Of those infants and toddlers who entered early intervention below age expectations in each Outcome, the </w:t>
      </w:r>
      <w:proofErr w:type="gramStart"/>
      <w:r w:rsidRPr="00ED172B">
        <w:rPr>
          <w:rFonts w:cs="Arial"/>
          <w:color w:val="000000" w:themeColor="text1"/>
          <w:szCs w:val="16"/>
        </w:rPr>
        <w:t>percent who</w:t>
      </w:r>
      <w:proofErr w:type="gramEnd"/>
      <w:r w:rsidRPr="00ED172B">
        <w:rPr>
          <w:rFonts w:cs="Arial"/>
          <w:color w:val="000000" w:themeColor="text1"/>
          <w:szCs w:val="16"/>
        </w:rPr>
        <w:t xml:space="preserve"> substantially increased their rate of growth by the time they turned 3 years of age or exited the program.</w:t>
      </w:r>
    </w:p>
    <w:p w14:paraId="09F7EC0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7272C1B"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04D3AD94"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xml:space="preserve"> The </w:t>
      </w:r>
      <w:proofErr w:type="gramStart"/>
      <w:r w:rsidRPr="00ED172B">
        <w:rPr>
          <w:rFonts w:cs="Arial"/>
          <w:color w:val="000000" w:themeColor="text1"/>
          <w:szCs w:val="16"/>
        </w:rPr>
        <w:t>percent</w:t>
      </w:r>
      <w:proofErr w:type="gramEnd"/>
      <w:r w:rsidRPr="00ED172B">
        <w:rPr>
          <w:rFonts w:cs="Arial"/>
          <w:color w:val="000000" w:themeColor="text1"/>
          <w:szCs w:val="16"/>
        </w:rPr>
        <w:t xml:space="preserve"> of infants and toddlers who were functioning within age expectations in each Outcome by the time they turned 3 years of age or exited the program.</w:t>
      </w:r>
    </w:p>
    <w:p w14:paraId="47B6A8D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4578CC33" w14:textId="77777777" w:rsidR="00F83F88" w:rsidRPr="00ED172B" w:rsidRDefault="00F83F88" w:rsidP="004A4483">
      <w:pPr>
        <w:rPr>
          <w:rFonts w:cs="Arial"/>
          <w:color w:val="000000" w:themeColor="text1"/>
          <w:szCs w:val="16"/>
        </w:rPr>
      </w:pPr>
      <w:r w:rsidRPr="00ED172B">
        <w:rPr>
          <w:rFonts w:cs="Arial"/>
          <w:color w:val="000000" w:themeColor="text1"/>
          <w:szCs w:val="16"/>
        </w:rPr>
        <w:t xml:space="preserve">Percent = </w:t>
      </w:r>
      <w:proofErr w:type="gramStart"/>
      <w:r w:rsidRPr="00ED172B">
        <w:rPr>
          <w:rFonts w:cs="Arial"/>
          <w:color w:val="000000" w:themeColor="text1"/>
          <w:szCs w:val="16"/>
        </w:rPr>
        <w:t xml:space="preserve">[(# </w:t>
      </w:r>
      <w:proofErr w:type="gramEnd"/>
      <w:r w:rsidRPr="00ED172B">
        <w:rPr>
          <w:rFonts w:cs="Arial"/>
          <w:color w:val="000000" w:themeColor="text1"/>
          <w:szCs w:val="16"/>
        </w:rPr>
        <w:t>of infants and toddlers reported in progress category (d) plus # of infants and toddlers reported in progress category (e)) divided by the (total # of infants and toddlers reported in progress categories (a) + (b) + (c) + (d) + (e))] times 100.</w:t>
      </w:r>
    </w:p>
    <w:p w14:paraId="463E96EB" w14:textId="77777777" w:rsidR="00F83F88" w:rsidRPr="00ED172B" w:rsidRDefault="00F83F88">
      <w:pPr>
        <w:rPr>
          <w:b/>
          <w:color w:val="000000" w:themeColor="text1"/>
        </w:rPr>
      </w:pPr>
      <w:r w:rsidRPr="00ED172B">
        <w:rPr>
          <w:b/>
          <w:color w:val="000000" w:themeColor="text1"/>
        </w:rPr>
        <w:t>Instructions</w:t>
      </w:r>
    </w:p>
    <w:p w14:paraId="6A309FC4"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666E1FB5"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29C3461C"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43657477" w14:textId="77777777"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2631E055" w14:textId="77777777"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6277F452"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2EE4C6A8"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19A5DED8" w14:textId="77777777"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w:t>
      </w:r>
      <w:proofErr w:type="spellStart"/>
      <w:r w:rsidRPr="00ED172B">
        <w:rPr>
          <w:color w:val="000000" w:themeColor="text1"/>
          <w:szCs w:val="16"/>
        </w:rPr>
        <w:t>i</w:t>
      </w:r>
      <w:proofErr w:type="spellEnd"/>
      <w:r w:rsidRPr="00ED172B">
        <w:rPr>
          <w:color w:val="000000" w:themeColor="text1"/>
          <w:szCs w:val="16"/>
        </w:rPr>
        <w:t xml:space="preserve">),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w:t>
      </w:r>
      <w:proofErr w:type="gramStart"/>
      <w:r w:rsidRPr="00ED172B">
        <w:rPr>
          <w:color w:val="000000" w:themeColor="text1"/>
          <w:szCs w:val="16"/>
        </w:rPr>
        <w:t>report outcome</w:t>
      </w:r>
      <w:proofErr w:type="gramEnd"/>
      <w:r w:rsidRPr="00ED172B">
        <w:rPr>
          <w:color w:val="000000" w:themeColor="text1"/>
          <w:szCs w:val="16"/>
        </w:rPr>
        <w:t xml:space="preserve"> data on </w:t>
      </w:r>
      <w:proofErr w:type="gramStart"/>
      <w:r w:rsidRPr="00ED172B">
        <w:rPr>
          <w:color w:val="000000" w:themeColor="text1"/>
          <w:szCs w:val="16"/>
        </w:rPr>
        <w:t>either: (</w:t>
      </w:r>
      <w:proofErr w:type="gramEnd"/>
      <w:r w:rsidRPr="00ED172B">
        <w:rPr>
          <w:color w:val="000000" w:themeColor="text1"/>
          <w:szCs w:val="16"/>
        </w:rPr>
        <w:t xml:space="preserve">1) just its at-risk infants and toddlers; or (2) aggregated performance data on </w:t>
      </w:r>
      <w:proofErr w:type="gramStart"/>
      <w:r w:rsidRPr="00ED172B">
        <w:rPr>
          <w:color w:val="000000" w:themeColor="text1"/>
          <w:szCs w:val="16"/>
        </w:rPr>
        <w:t>all of</w:t>
      </w:r>
      <w:proofErr w:type="gramEnd"/>
      <w:r w:rsidRPr="00ED172B">
        <w:rPr>
          <w:color w:val="000000" w:themeColor="text1"/>
          <w:szCs w:val="16"/>
        </w:rPr>
        <w:t xml:space="preserve"> the infants and toddlers it serves under Part C (including developmentally delayed children, children with diagnosed conditions, and at-risk infants and toddlers).</w:t>
      </w:r>
    </w:p>
    <w:p w14:paraId="0B62C6B5" w14:textId="77777777" w:rsidR="00833727" w:rsidRPr="00A40EE1" w:rsidRDefault="000D0117" w:rsidP="005C3FFD">
      <w:pPr>
        <w:pStyle w:val="Heading2"/>
      </w:pPr>
      <w:r w:rsidRPr="00A40EE1">
        <w:lastRenderedPageBreak/>
        <w:t xml:space="preserve">3 - </w:t>
      </w:r>
      <w:r w:rsidR="004A4483" w:rsidRPr="00A40EE1">
        <w:t>Indicator Data</w:t>
      </w:r>
      <w:bookmarkEnd w:id="14"/>
    </w:p>
    <w:p w14:paraId="676DD71B" w14:textId="77777777" w:rsidR="00363AAB" w:rsidRPr="00ED172B" w:rsidRDefault="00363AAB" w:rsidP="00186420">
      <w:pPr>
        <w:rPr>
          <w:b/>
          <w:color w:val="000000" w:themeColor="text1"/>
        </w:rPr>
      </w:pPr>
      <w:proofErr w:type="gramStart"/>
      <w:r w:rsidRPr="00ED172B">
        <w:rPr>
          <w:b/>
          <w:color w:val="000000" w:themeColor="text1"/>
        </w:rPr>
        <w:t>Does</w:t>
      </w:r>
      <w:proofErr w:type="gramEnd"/>
      <w:r w:rsidRPr="00ED172B">
        <w:rPr>
          <w:b/>
          <w:color w:val="000000" w:themeColor="text1"/>
        </w:rPr>
        <w:t xml:space="preserve"> your State's Part C eligibility criteria include infants and toddlers who are at risk of having substantial developmental delays (or “at-risk infants and toddlers”) under IDEA section 632(5)(B)(</w:t>
      </w:r>
      <w:proofErr w:type="spellStart"/>
      <w:r w:rsidRPr="00ED172B">
        <w:rPr>
          <w:b/>
          <w:color w:val="000000" w:themeColor="text1"/>
        </w:rPr>
        <w:t>i</w:t>
      </w:r>
      <w:proofErr w:type="spellEnd"/>
      <w:r w:rsidRPr="00ED172B">
        <w:rPr>
          <w:b/>
          <w:color w:val="000000" w:themeColor="text1"/>
        </w:rPr>
        <w:t>)? (yes/no)</w:t>
      </w:r>
    </w:p>
    <w:p w14:paraId="7BE22057" w14:textId="77777777" w:rsidR="00363AAB" w:rsidRPr="00ED172B" w:rsidRDefault="00363AAB">
      <w:pPr>
        <w:rPr>
          <w:color w:val="000000" w:themeColor="text1"/>
        </w:rPr>
      </w:pPr>
      <w:r w:rsidRPr="00ED172B">
        <w:rPr>
          <w:color w:val="000000" w:themeColor="text1"/>
        </w:rPr>
        <w:t>NO</w:t>
      </w:r>
    </w:p>
    <w:p w14:paraId="2CFF9B46" w14:textId="77777777" w:rsidR="00F32724" w:rsidRPr="00ED172B" w:rsidRDefault="00F32724" w:rsidP="00F32724">
      <w:pPr>
        <w:rPr>
          <w:b/>
          <w:color w:val="000000" w:themeColor="text1"/>
        </w:rPr>
      </w:pPr>
    </w:p>
    <w:p w14:paraId="64F49509" w14:textId="77777777" w:rsidR="00F32724" w:rsidRDefault="00F32724" w:rsidP="00F32724">
      <w:pPr>
        <w:rPr>
          <w:b/>
          <w:color w:val="000000" w:themeColor="text1"/>
        </w:rPr>
      </w:pPr>
      <w:r w:rsidRPr="00ED172B">
        <w:rPr>
          <w:b/>
          <w:color w:val="000000" w:themeColor="text1"/>
        </w:rPr>
        <w:t xml:space="preserve">Targets: Description of Stakeholder Input </w:t>
      </w:r>
    </w:p>
    <w:p w14:paraId="1606547C" w14:textId="77777777" w:rsidR="00F32724" w:rsidRDefault="00CF03E0" w:rsidP="00CF03E0">
      <w:pPr>
        <w:rPr>
          <w:color w:val="000000" w:themeColor="text1"/>
        </w:rPr>
      </w:pPr>
      <w:r w:rsidRPr="00ED172B">
        <w:rPr>
          <w:color w:val="000000" w:themeColor="text1"/>
        </w:rPr>
        <w:t>TEIS incorporates broad stakeholder input when addressing areas of need within the system through multiple channels, including:</w:t>
      </w:r>
    </w:p>
    <w:p w14:paraId="0BE3E733" w14:textId="77777777" w:rsidR="007876EE" w:rsidRDefault="007876EE"/>
    <w:p w14:paraId="41295450" w14:textId="77777777" w:rsidR="007876EE" w:rsidRDefault="00000000">
      <w:r>
        <w:rPr>
          <w:color w:val="000000"/>
        </w:rPr>
        <w:t>-State Interagency Coordinating Council (SICC) membership and attending visitors.</w:t>
      </w:r>
    </w:p>
    <w:p w14:paraId="69945129" w14:textId="77777777" w:rsidR="007876EE" w:rsidRDefault="00000000">
      <w:r>
        <w:rPr>
          <w:color w:val="000000"/>
        </w:rPr>
        <w:t>-TEIS, EIRA, and Vendor Advisory Councils.</w:t>
      </w:r>
    </w:p>
    <w:p w14:paraId="79FA7266" w14:textId="77777777" w:rsidR="007876EE" w:rsidRDefault="00000000">
      <w:r>
        <w:rPr>
          <w:color w:val="000000"/>
        </w:rPr>
        <w:t>-Office Hours sessions.</w:t>
      </w:r>
    </w:p>
    <w:p w14:paraId="1803B176" w14:textId="77777777" w:rsidR="007876EE" w:rsidRDefault="00000000">
      <w:r>
        <w:rPr>
          <w:color w:val="000000"/>
        </w:rPr>
        <w:t>-Feedback from family surveys, advocacy groups, and local engagement efforts.</w:t>
      </w:r>
    </w:p>
    <w:p w14:paraId="60BBBFD3" w14:textId="77777777" w:rsidR="007876EE" w:rsidRDefault="007876EE"/>
    <w:p w14:paraId="1DBAF831" w14:textId="77777777" w:rsidR="007876EE" w:rsidRDefault="00000000">
      <w:r>
        <w:rPr>
          <w:color w:val="000000"/>
        </w:rPr>
        <w:t>The TEIS website and department newsletter provide stakeholders with consistent updates on program activities and service delivery.</w:t>
      </w:r>
    </w:p>
    <w:p w14:paraId="28D030EA" w14:textId="77777777" w:rsidR="007876EE" w:rsidRDefault="007876EE"/>
    <w:p w14:paraId="55F154ED" w14:textId="77777777" w:rsidR="007876EE" w:rsidRDefault="00000000">
      <w:r>
        <w:rPr>
          <w:color w:val="000000"/>
        </w:rPr>
        <w:t>State Interagency Coordinating Council (SICC)</w:t>
      </w:r>
    </w:p>
    <w:p w14:paraId="2653F2B9"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7D9368E3" w14:textId="77777777" w:rsidR="007876EE" w:rsidRDefault="007876EE"/>
    <w:p w14:paraId="1B2BC9D3" w14:textId="77777777" w:rsidR="007876EE" w:rsidRDefault="00000000">
      <w:r>
        <w:rPr>
          <w:color w:val="000000"/>
        </w:rPr>
        <w:t>Meetings are open to the public, and agenda topics can be submitted via the TEIS website. Topics addressed in 2024-25 included:</w:t>
      </w:r>
    </w:p>
    <w:p w14:paraId="79EA52C7" w14:textId="77777777" w:rsidR="007876EE" w:rsidRDefault="00000000">
      <w:r>
        <w:rPr>
          <w:color w:val="000000"/>
        </w:rPr>
        <w:t>-HOPE Family Survey results and feedback.</w:t>
      </w:r>
    </w:p>
    <w:p w14:paraId="2D76A62A" w14:textId="77777777" w:rsidR="007876EE" w:rsidRDefault="00000000">
      <w:r>
        <w:rPr>
          <w:color w:val="000000"/>
        </w:rPr>
        <w:t>-Results Monitoring.</w:t>
      </w:r>
    </w:p>
    <w:p w14:paraId="3BD15520" w14:textId="77777777" w:rsidR="007876EE" w:rsidRDefault="00000000">
      <w:r>
        <w:rPr>
          <w:color w:val="000000"/>
        </w:rPr>
        <w:t>-TEIS Central Office team functions.</w:t>
      </w:r>
    </w:p>
    <w:p w14:paraId="68BB8B7B" w14:textId="77777777" w:rsidR="007876EE" w:rsidRDefault="00000000">
      <w:r>
        <w:rPr>
          <w:color w:val="000000"/>
        </w:rPr>
        <w:t>-POE initiatives and regional goals.</w:t>
      </w:r>
    </w:p>
    <w:p w14:paraId="7DE2EC3C" w14:textId="77777777" w:rsidR="007876EE" w:rsidRDefault="00000000">
      <w:r>
        <w:rPr>
          <w:color w:val="000000"/>
        </w:rPr>
        <w:t>-Other program updates.</w:t>
      </w:r>
    </w:p>
    <w:p w14:paraId="058DB1FC" w14:textId="77777777" w:rsidR="007876EE" w:rsidRDefault="007876EE"/>
    <w:p w14:paraId="27F1D183" w14:textId="77777777" w:rsidR="007876EE" w:rsidRDefault="00000000">
      <w:r>
        <w:rPr>
          <w:color w:val="000000"/>
        </w:rPr>
        <w:t>Additionally, SICC provided direct feedback to OSEP during Tennessee’s DMS 2.0 audit.</w:t>
      </w:r>
    </w:p>
    <w:p w14:paraId="02FF5494" w14:textId="77777777" w:rsidR="007876EE" w:rsidRDefault="007876EE"/>
    <w:p w14:paraId="185C57E8" w14:textId="77777777" w:rsidR="007876EE" w:rsidRDefault="00000000">
      <w:r>
        <w:rPr>
          <w:color w:val="000000"/>
        </w:rPr>
        <w:t>Advisory Councils</w:t>
      </w:r>
    </w:p>
    <w:p w14:paraId="29A52438" w14:textId="77777777" w:rsidR="007876EE" w:rsidRDefault="00000000">
      <w:r>
        <w:rPr>
          <w:color w:val="000000"/>
        </w:rPr>
        <w:t>Two advisory councils serve as key feedback channels:</w:t>
      </w:r>
    </w:p>
    <w:p w14:paraId="3F6B4705" w14:textId="77777777" w:rsidR="007876EE" w:rsidRDefault="00000000">
      <w:r>
        <w:rPr>
          <w:color w:val="000000"/>
        </w:rPr>
        <w:t>-Early Intervention Resource Agency (EIRA) Advisory Council – Agencies providing developmental therapy.</w:t>
      </w:r>
    </w:p>
    <w:p w14:paraId="11905A05" w14:textId="77777777" w:rsidR="007876EE" w:rsidRDefault="00000000">
      <w:r>
        <w:rPr>
          <w:color w:val="000000"/>
        </w:rPr>
        <w:t>-Vendor Advisory Council – Agencies providing therapy services (speech, physical, occupational).</w:t>
      </w:r>
    </w:p>
    <w:p w14:paraId="69DA2511" w14:textId="77777777" w:rsidR="007876EE" w:rsidRDefault="007876EE"/>
    <w:p w14:paraId="70CCE04E" w14:textId="77777777" w:rsidR="007876EE" w:rsidRDefault="00000000">
      <w:r>
        <w:rPr>
          <w:color w:val="000000"/>
        </w:rPr>
        <w:t>Updates from both councils are shared at quarterly SICC meetings. Membership includes contracted EIS provider agencies.</w:t>
      </w:r>
    </w:p>
    <w:p w14:paraId="7EC5F616" w14:textId="77777777" w:rsidR="007876EE" w:rsidRDefault="007876EE"/>
    <w:p w14:paraId="0B7E9D9C" w14:textId="77777777" w:rsidR="007876EE" w:rsidRDefault="00000000">
      <w:r>
        <w:rPr>
          <w:color w:val="000000"/>
        </w:rPr>
        <w:t>EIRA Advisory Council focuses on:</w:t>
      </w:r>
    </w:p>
    <w:p w14:paraId="137127A4" w14:textId="77777777" w:rsidR="007876EE" w:rsidRDefault="00000000">
      <w:r>
        <w:rPr>
          <w:color w:val="000000"/>
        </w:rPr>
        <w:t>-Improving services for children and families.</w:t>
      </w:r>
    </w:p>
    <w:p w14:paraId="770A7A5E" w14:textId="77777777" w:rsidR="007876EE" w:rsidRDefault="00000000">
      <w:r>
        <w:rPr>
          <w:color w:val="000000"/>
        </w:rPr>
        <w:t>-Increasing access to services statewide.</w:t>
      </w:r>
    </w:p>
    <w:p w14:paraId="68056667" w14:textId="77777777" w:rsidR="007876EE" w:rsidRDefault="00000000">
      <w:r>
        <w:rPr>
          <w:color w:val="000000"/>
        </w:rPr>
        <w:t>-Enhancing communication between TEIS and EIRAs.</w:t>
      </w:r>
    </w:p>
    <w:p w14:paraId="323659CE" w14:textId="77777777" w:rsidR="007876EE" w:rsidRDefault="007876EE"/>
    <w:p w14:paraId="6A200C40"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6A82D9F9" w14:textId="77777777" w:rsidR="007876EE" w:rsidRDefault="007876EE"/>
    <w:p w14:paraId="38F126C9" w14:textId="77777777" w:rsidR="007876EE" w:rsidRDefault="00000000">
      <w:r>
        <w:rPr>
          <w:color w:val="000000"/>
        </w:rPr>
        <w:t>Vendor Advisory Council collaborates on:</w:t>
      </w:r>
    </w:p>
    <w:p w14:paraId="1669B421" w14:textId="77777777" w:rsidR="007876EE" w:rsidRDefault="00000000">
      <w:r>
        <w:rPr>
          <w:color w:val="000000"/>
        </w:rPr>
        <w:t>-Issues impacting therapy vendors.</w:t>
      </w:r>
    </w:p>
    <w:p w14:paraId="703017EC" w14:textId="77777777" w:rsidR="007876EE" w:rsidRDefault="00000000">
      <w:r>
        <w:rPr>
          <w:color w:val="000000"/>
        </w:rPr>
        <w:t>-Streamlining billing and business processes.</w:t>
      </w:r>
    </w:p>
    <w:p w14:paraId="0012B2F2" w14:textId="77777777" w:rsidR="007876EE" w:rsidRDefault="00000000">
      <w:r>
        <w:rPr>
          <w:color w:val="000000"/>
        </w:rPr>
        <w:t>-Improving IFSP teaming in partnership with the EIRA Advisory Council.</w:t>
      </w:r>
    </w:p>
    <w:p w14:paraId="6867AB47" w14:textId="77777777" w:rsidR="007876EE" w:rsidRDefault="007876EE"/>
    <w:p w14:paraId="6C22B9EE" w14:textId="77777777" w:rsidR="007876EE" w:rsidRDefault="00000000">
      <w:r>
        <w:rPr>
          <w:color w:val="000000"/>
        </w:rPr>
        <w:t>Council Structure</w:t>
      </w:r>
    </w:p>
    <w:p w14:paraId="0B43BF99"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411A05DB" w14:textId="77777777" w:rsidR="007876EE" w:rsidRDefault="007876EE"/>
    <w:p w14:paraId="1E5F8205" w14:textId="77777777" w:rsidR="007876EE" w:rsidRDefault="00000000">
      <w:r>
        <w:rPr>
          <w:color w:val="000000"/>
        </w:rPr>
        <w:t>Office Hours</w:t>
      </w:r>
    </w:p>
    <w:p w14:paraId="510BBD07"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4A5F8CC2" w14:textId="77777777" w:rsidR="007876EE" w:rsidRDefault="007876EE"/>
    <w:p w14:paraId="4EA7D8CD" w14:textId="77777777" w:rsidR="007876EE" w:rsidRDefault="00000000">
      <w:r>
        <w:rPr>
          <w:color w:val="000000"/>
        </w:rPr>
        <w:t>Parent Engagement</w:t>
      </w:r>
    </w:p>
    <w:p w14:paraId="183500A6" w14:textId="77777777" w:rsidR="007876EE" w:rsidRDefault="00000000">
      <w:r>
        <w:rPr>
          <w:color w:val="000000"/>
        </w:rPr>
        <w:t>Stakeholder engagement activities—along with professional development and technical assistance—help build the capacity of parents through:</w:t>
      </w:r>
    </w:p>
    <w:p w14:paraId="4466A16B" w14:textId="77777777" w:rsidR="007876EE" w:rsidRDefault="00000000">
      <w:r>
        <w:rPr>
          <w:color w:val="000000"/>
        </w:rPr>
        <w:lastRenderedPageBreak/>
        <w:t>-Direct engagement: Participation in SICC or local councils, training sessions, surveys, and direct communication with TEIS leadership.</w:t>
      </w:r>
    </w:p>
    <w:p w14:paraId="304B59CB" w14:textId="77777777" w:rsidR="007876EE" w:rsidRDefault="00000000">
      <w:r>
        <w:rPr>
          <w:color w:val="000000"/>
        </w:rPr>
        <w:t>-Indirect engagement: Training and monitoring systems that strengthen IFSP team members’ knowledge and skills, benefiting children and families.</w:t>
      </w:r>
    </w:p>
    <w:p w14:paraId="55C08501" w14:textId="77777777" w:rsidR="004C1CEE" w:rsidRPr="00ED172B" w:rsidRDefault="004C1CEE" w:rsidP="00F32724">
      <w:pPr>
        <w:rPr>
          <w:color w:val="000000" w:themeColor="text1"/>
        </w:rPr>
      </w:pPr>
    </w:p>
    <w:p w14:paraId="55BB6369" w14:textId="77777777" w:rsidR="001A4B29" w:rsidRPr="00ED172B" w:rsidRDefault="001A4B29">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3HISTDATA1"/>
      </w:tblPr>
      <w:tblGrid>
        <w:gridCol w:w="1078"/>
        <w:gridCol w:w="1078"/>
        <w:gridCol w:w="1079"/>
        <w:gridCol w:w="1511"/>
        <w:gridCol w:w="1511"/>
        <w:gridCol w:w="1511"/>
        <w:gridCol w:w="1511"/>
        <w:gridCol w:w="1511"/>
      </w:tblGrid>
      <w:tr w:rsidR="00ED172B" w:rsidRPr="00ED172B" w14:paraId="44AAF297" w14:textId="77777777" w:rsidTr="00A40EE1">
        <w:trPr>
          <w:trHeight w:val="395"/>
        </w:trPr>
        <w:tc>
          <w:tcPr>
            <w:tcW w:w="500" w:type="pct"/>
            <w:tcBorders>
              <w:top w:val="single" w:sz="4" w:space="0" w:color="auto"/>
              <w:left w:val="single" w:sz="4" w:space="0" w:color="auto"/>
              <w:bottom w:val="single" w:sz="4" w:space="0" w:color="auto"/>
              <w:right w:val="single" w:sz="4" w:space="0" w:color="auto"/>
            </w:tcBorders>
            <w:vAlign w:val="bottom"/>
          </w:tcPr>
          <w:p w14:paraId="10E18A24" w14:textId="77777777" w:rsidR="00E87031" w:rsidRPr="00ED172B" w:rsidRDefault="00E55520" w:rsidP="00E87031">
            <w:pPr>
              <w:jc w:val="center"/>
              <w:rPr>
                <w:rFonts w:cs="Arial"/>
                <w:b/>
                <w:color w:val="000000" w:themeColor="text1"/>
                <w:szCs w:val="16"/>
              </w:rPr>
            </w:pPr>
            <w:r>
              <w:rPr>
                <w:rFonts w:cs="Arial"/>
                <w:b/>
                <w:color w:val="000000" w:themeColor="text1"/>
                <w:szCs w:val="16"/>
              </w:rPr>
              <w:t>Outcome</w:t>
            </w:r>
          </w:p>
        </w:tc>
        <w:tc>
          <w:tcPr>
            <w:tcW w:w="500" w:type="pct"/>
            <w:tcBorders>
              <w:top w:val="single" w:sz="4" w:space="0" w:color="auto"/>
              <w:left w:val="single" w:sz="4" w:space="0" w:color="auto"/>
              <w:bottom w:val="single" w:sz="4" w:space="0" w:color="auto"/>
              <w:right w:val="single" w:sz="4" w:space="0" w:color="auto"/>
            </w:tcBorders>
            <w:vAlign w:val="bottom"/>
          </w:tcPr>
          <w:p w14:paraId="377D3622" w14:textId="77777777" w:rsidR="00E87031" w:rsidRPr="00ED172B" w:rsidRDefault="00E87031" w:rsidP="00E87031">
            <w:pPr>
              <w:jc w:val="center"/>
              <w:rPr>
                <w:rFonts w:cs="Arial"/>
                <w:b/>
                <w:color w:val="000000" w:themeColor="text1"/>
                <w:szCs w:val="16"/>
              </w:rPr>
            </w:pPr>
            <w:r w:rsidRPr="00ED172B">
              <w:rPr>
                <w:rFonts w:cs="Arial"/>
                <w:b/>
                <w:color w:val="000000" w:themeColor="text1"/>
                <w:szCs w:val="16"/>
              </w:rPr>
              <w:t>Baseline</w:t>
            </w:r>
          </w:p>
        </w:tc>
        <w:tc>
          <w:tcPr>
            <w:tcW w:w="500" w:type="pct"/>
            <w:tcBorders>
              <w:top w:val="single" w:sz="4" w:space="0" w:color="auto"/>
              <w:left w:val="single" w:sz="4" w:space="0" w:color="auto"/>
              <w:bottom w:val="single" w:sz="4" w:space="0" w:color="auto"/>
              <w:right w:val="single" w:sz="4" w:space="0" w:color="auto"/>
            </w:tcBorders>
            <w:vAlign w:val="bottom"/>
          </w:tcPr>
          <w:p w14:paraId="599292E3" w14:textId="77777777" w:rsidR="00E87031" w:rsidRPr="00ED172B" w:rsidRDefault="00E87031" w:rsidP="00E87031">
            <w:pPr>
              <w:jc w:val="center"/>
              <w:rPr>
                <w:rFonts w:cs="Arial"/>
                <w:b/>
                <w:color w:val="000000" w:themeColor="text1"/>
                <w:szCs w:val="16"/>
              </w:rPr>
            </w:pPr>
            <w:r w:rsidRPr="00ED172B">
              <w:rPr>
                <w:rFonts w:cs="Arial"/>
                <w:b/>
                <w:color w:val="000000" w:themeColor="text1"/>
                <w:szCs w:val="16"/>
              </w:rPr>
              <w:t>FFY</w:t>
            </w:r>
          </w:p>
        </w:tc>
        <w:tc>
          <w:tcPr>
            <w:tcW w:w="700" w:type="pct"/>
            <w:tcBorders>
              <w:top w:val="single" w:sz="4" w:space="0" w:color="auto"/>
              <w:left w:val="single" w:sz="4" w:space="0" w:color="auto"/>
              <w:bottom w:val="single" w:sz="4" w:space="0" w:color="auto"/>
              <w:right w:val="single" w:sz="4" w:space="0" w:color="auto"/>
            </w:tcBorders>
            <w:vAlign w:val="center"/>
          </w:tcPr>
          <w:p w14:paraId="6719F4D1"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2019</w:t>
            </w:r>
          </w:p>
        </w:tc>
        <w:tc>
          <w:tcPr>
            <w:tcW w:w="700" w:type="pct"/>
            <w:tcBorders>
              <w:top w:val="single" w:sz="4" w:space="0" w:color="auto"/>
              <w:left w:val="single" w:sz="4" w:space="0" w:color="auto"/>
              <w:bottom w:val="single" w:sz="4" w:space="0" w:color="auto"/>
              <w:right w:val="single" w:sz="4" w:space="0" w:color="auto"/>
            </w:tcBorders>
            <w:vAlign w:val="center"/>
          </w:tcPr>
          <w:p w14:paraId="69D1D468"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2020</w:t>
            </w:r>
          </w:p>
        </w:tc>
        <w:tc>
          <w:tcPr>
            <w:tcW w:w="700" w:type="pct"/>
            <w:tcBorders>
              <w:top w:val="single" w:sz="4" w:space="0" w:color="auto"/>
              <w:left w:val="single" w:sz="4" w:space="0" w:color="auto"/>
              <w:bottom w:val="single" w:sz="4" w:space="0" w:color="auto"/>
              <w:right w:val="single" w:sz="4" w:space="0" w:color="auto"/>
            </w:tcBorders>
            <w:vAlign w:val="center"/>
          </w:tcPr>
          <w:p w14:paraId="31CE9BDC"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2021</w:t>
            </w:r>
          </w:p>
        </w:tc>
        <w:tc>
          <w:tcPr>
            <w:tcW w:w="700" w:type="pct"/>
            <w:tcBorders>
              <w:top w:val="single" w:sz="4" w:space="0" w:color="auto"/>
              <w:left w:val="single" w:sz="4" w:space="0" w:color="auto"/>
              <w:bottom w:val="single" w:sz="4" w:space="0" w:color="auto"/>
              <w:right w:val="single" w:sz="4" w:space="0" w:color="auto"/>
            </w:tcBorders>
            <w:vAlign w:val="center"/>
          </w:tcPr>
          <w:p w14:paraId="5E3E06FC" w14:textId="77777777" w:rsidR="00E87031" w:rsidRPr="00ED172B" w:rsidRDefault="002163F2" w:rsidP="00E87031">
            <w:pPr>
              <w:jc w:val="center"/>
              <w:rPr>
                <w:rFonts w:cs="Arial"/>
                <w:b/>
                <w:color w:val="000000" w:themeColor="text1"/>
                <w:szCs w:val="16"/>
              </w:rPr>
            </w:pPr>
            <w:r w:rsidRPr="00ED172B">
              <w:rPr>
                <w:rFonts w:cs="Arial"/>
                <w:b/>
                <w:color w:val="000000" w:themeColor="text1"/>
                <w:szCs w:val="16"/>
              </w:rPr>
              <w:t>2022</w:t>
            </w:r>
          </w:p>
        </w:tc>
        <w:tc>
          <w:tcPr>
            <w:tcW w:w="700" w:type="pct"/>
            <w:tcBorders>
              <w:top w:val="single" w:sz="4" w:space="0" w:color="auto"/>
              <w:left w:val="single" w:sz="4" w:space="0" w:color="auto"/>
              <w:bottom w:val="single" w:sz="4" w:space="0" w:color="auto"/>
              <w:right w:val="single" w:sz="4" w:space="0" w:color="auto"/>
            </w:tcBorders>
            <w:vAlign w:val="center"/>
          </w:tcPr>
          <w:p w14:paraId="0C9ED701" w14:textId="77777777" w:rsidR="00E87031" w:rsidRPr="00ED172B" w:rsidRDefault="006D43D3" w:rsidP="00E87031">
            <w:pPr>
              <w:jc w:val="center"/>
              <w:rPr>
                <w:rFonts w:cs="Arial"/>
                <w:b/>
                <w:color w:val="000000" w:themeColor="text1"/>
                <w:szCs w:val="16"/>
              </w:rPr>
            </w:pPr>
            <w:r w:rsidRPr="00ED172B">
              <w:rPr>
                <w:rFonts w:cs="Arial"/>
                <w:b/>
                <w:color w:val="000000" w:themeColor="text1"/>
                <w:szCs w:val="16"/>
              </w:rPr>
              <w:t>2023</w:t>
            </w:r>
          </w:p>
        </w:tc>
      </w:tr>
      <w:tr w:rsidR="00ED172B" w:rsidRPr="00ED172B" w14:paraId="03C7538D" w14:textId="77777777" w:rsidTr="00A40EE1">
        <w:trPr>
          <w:trHeight w:val="70"/>
        </w:trPr>
        <w:tc>
          <w:tcPr>
            <w:tcW w:w="500" w:type="pct"/>
            <w:tcBorders>
              <w:top w:val="single" w:sz="4" w:space="0" w:color="auto"/>
              <w:left w:val="single" w:sz="4" w:space="0" w:color="auto"/>
              <w:right w:val="single" w:sz="4" w:space="0" w:color="auto"/>
            </w:tcBorders>
            <w:vAlign w:val="center"/>
          </w:tcPr>
          <w:p w14:paraId="6D2971A8"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A1</w:t>
            </w:r>
          </w:p>
        </w:tc>
        <w:tc>
          <w:tcPr>
            <w:tcW w:w="500" w:type="pct"/>
            <w:tcBorders>
              <w:top w:val="single" w:sz="4" w:space="0" w:color="auto"/>
              <w:left w:val="single" w:sz="4" w:space="0" w:color="auto"/>
              <w:right w:val="single" w:sz="4" w:space="0" w:color="auto"/>
            </w:tcBorders>
          </w:tcPr>
          <w:p w14:paraId="69FA1BF6" w14:textId="77777777" w:rsidR="007F3393" w:rsidRPr="00ED172B" w:rsidRDefault="002F5A9E" w:rsidP="00027F39">
            <w:pPr>
              <w:jc w:val="center"/>
              <w:rPr>
                <w:color w:val="000000" w:themeColor="text1"/>
              </w:rPr>
            </w:pPr>
            <w:r w:rsidRPr="00ED172B">
              <w:rPr>
                <w:color w:val="000000" w:themeColor="text1"/>
              </w:rPr>
              <w:t>2022</w:t>
            </w:r>
          </w:p>
        </w:tc>
        <w:tc>
          <w:tcPr>
            <w:tcW w:w="500" w:type="pct"/>
            <w:tcBorders>
              <w:top w:val="single" w:sz="4" w:space="0" w:color="auto"/>
              <w:left w:val="single" w:sz="4" w:space="0" w:color="auto"/>
              <w:bottom w:val="single" w:sz="4" w:space="0" w:color="auto"/>
              <w:right w:val="single" w:sz="4" w:space="0" w:color="auto"/>
            </w:tcBorders>
            <w:hideMark/>
          </w:tcPr>
          <w:p w14:paraId="3B0F95CB"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5FF2560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59.00%</w:t>
            </w:r>
          </w:p>
        </w:tc>
        <w:tc>
          <w:tcPr>
            <w:tcW w:w="700" w:type="pct"/>
            <w:tcBorders>
              <w:top w:val="single" w:sz="4" w:space="0" w:color="auto"/>
              <w:left w:val="single" w:sz="4" w:space="0" w:color="auto"/>
              <w:bottom w:val="single" w:sz="4" w:space="0" w:color="auto"/>
              <w:right w:val="single" w:sz="4" w:space="0" w:color="auto"/>
            </w:tcBorders>
            <w:vAlign w:val="center"/>
          </w:tcPr>
          <w:p w14:paraId="6EDB16BE"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59.00%</w:t>
            </w:r>
          </w:p>
        </w:tc>
        <w:tc>
          <w:tcPr>
            <w:tcW w:w="700" w:type="pct"/>
            <w:tcBorders>
              <w:top w:val="single" w:sz="4" w:space="0" w:color="auto"/>
              <w:left w:val="single" w:sz="4" w:space="0" w:color="auto"/>
              <w:bottom w:val="single" w:sz="4" w:space="0" w:color="auto"/>
              <w:right w:val="single" w:sz="4" w:space="0" w:color="auto"/>
            </w:tcBorders>
            <w:vAlign w:val="center"/>
          </w:tcPr>
          <w:p w14:paraId="66046CC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59.00%</w:t>
            </w:r>
          </w:p>
        </w:tc>
        <w:tc>
          <w:tcPr>
            <w:tcW w:w="700" w:type="pct"/>
            <w:tcBorders>
              <w:top w:val="single" w:sz="4" w:space="0" w:color="auto"/>
              <w:left w:val="single" w:sz="4" w:space="0" w:color="auto"/>
              <w:bottom w:val="single" w:sz="4" w:space="0" w:color="auto"/>
              <w:right w:val="single" w:sz="4" w:space="0" w:color="auto"/>
            </w:tcBorders>
            <w:vAlign w:val="center"/>
          </w:tcPr>
          <w:p w14:paraId="52CF2FB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59.00%</w:t>
            </w:r>
          </w:p>
        </w:tc>
        <w:tc>
          <w:tcPr>
            <w:tcW w:w="700" w:type="pct"/>
            <w:tcBorders>
              <w:top w:val="single" w:sz="4" w:space="0" w:color="auto"/>
              <w:left w:val="single" w:sz="4" w:space="0" w:color="auto"/>
              <w:bottom w:val="single" w:sz="4" w:space="0" w:color="auto"/>
              <w:right w:val="single" w:sz="4" w:space="0" w:color="auto"/>
            </w:tcBorders>
            <w:vAlign w:val="center"/>
          </w:tcPr>
          <w:p w14:paraId="71667C9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59.00%</w:t>
            </w:r>
          </w:p>
        </w:tc>
      </w:tr>
      <w:tr w:rsidR="00ED172B" w:rsidRPr="00ED172B" w14:paraId="64EC6B28" w14:textId="77777777" w:rsidTr="00A40EE1">
        <w:trPr>
          <w:trHeight w:val="70"/>
        </w:trPr>
        <w:tc>
          <w:tcPr>
            <w:tcW w:w="500" w:type="pct"/>
            <w:tcBorders>
              <w:left w:val="single" w:sz="4" w:space="0" w:color="auto"/>
              <w:right w:val="single" w:sz="4" w:space="0" w:color="auto"/>
            </w:tcBorders>
            <w:vAlign w:val="center"/>
          </w:tcPr>
          <w:p w14:paraId="10DD0AD6"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500" w:type="pct"/>
            <w:tcBorders>
              <w:left w:val="single" w:sz="4" w:space="0" w:color="auto"/>
              <w:right w:val="single" w:sz="4" w:space="0" w:color="auto"/>
            </w:tcBorders>
          </w:tcPr>
          <w:p w14:paraId="0AF57994" w14:textId="77777777" w:rsidR="007F3393" w:rsidRPr="00ED172B" w:rsidRDefault="002F5A9E" w:rsidP="00027F39">
            <w:pPr>
              <w:jc w:val="center"/>
              <w:rPr>
                <w:color w:val="000000" w:themeColor="text1"/>
              </w:rPr>
            </w:pPr>
            <w:r w:rsidRPr="00ED172B">
              <w:rPr>
                <w:color w:val="000000" w:themeColor="text1"/>
              </w:rPr>
              <w:t>67.73%</w:t>
            </w:r>
          </w:p>
        </w:tc>
        <w:tc>
          <w:tcPr>
            <w:tcW w:w="500" w:type="pct"/>
            <w:tcBorders>
              <w:top w:val="single" w:sz="4" w:space="0" w:color="auto"/>
              <w:left w:val="single" w:sz="4" w:space="0" w:color="auto"/>
              <w:bottom w:val="single" w:sz="4" w:space="0" w:color="auto"/>
              <w:right w:val="single" w:sz="4" w:space="0" w:color="auto"/>
            </w:tcBorders>
            <w:hideMark/>
          </w:tcPr>
          <w:p w14:paraId="0645E156"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41E2470E"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66.79%</w:t>
            </w:r>
          </w:p>
        </w:tc>
        <w:tc>
          <w:tcPr>
            <w:tcW w:w="700" w:type="pct"/>
            <w:tcBorders>
              <w:top w:val="single" w:sz="4" w:space="0" w:color="auto"/>
              <w:left w:val="single" w:sz="4" w:space="0" w:color="auto"/>
              <w:bottom w:val="single" w:sz="4" w:space="0" w:color="auto"/>
              <w:right w:val="single" w:sz="4" w:space="0" w:color="auto"/>
            </w:tcBorders>
            <w:vAlign w:val="center"/>
          </w:tcPr>
          <w:p w14:paraId="20CCC16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68.02%</w:t>
            </w:r>
          </w:p>
        </w:tc>
        <w:tc>
          <w:tcPr>
            <w:tcW w:w="700" w:type="pct"/>
            <w:tcBorders>
              <w:top w:val="single" w:sz="4" w:space="0" w:color="auto"/>
              <w:left w:val="single" w:sz="4" w:space="0" w:color="auto"/>
              <w:bottom w:val="single" w:sz="4" w:space="0" w:color="auto"/>
              <w:right w:val="single" w:sz="4" w:space="0" w:color="auto"/>
            </w:tcBorders>
            <w:vAlign w:val="center"/>
          </w:tcPr>
          <w:p w14:paraId="6A2338D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69.03%</w:t>
            </w:r>
          </w:p>
        </w:tc>
        <w:tc>
          <w:tcPr>
            <w:tcW w:w="700" w:type="pct"/>
            <w:tcBorders>
              <w:top w:val="single" w:sz="4" w:space="0" w:color="auto"/>
              <w:left w:val="single" w:sz="4" w:space="0" w:color="auto"/>
              <w:bottom w:val="single" w:sz="4" w:space="0" w:color="auto"/>
              <w:right w:val="single" w:sz="4" w:space="0" w:color="auto"/>
            </w:tcBorders>
            <w:vAlign w:val="center"/>
          </w:tcPr>
          <w:p w14:paraId="6447ABE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67.73%</w:t>
            </w:r>
          </w:p>
        </w:tc>
        <w:tc>
          <w:tcPr>
            <w:tcW w:w="700" w:type="pct"/>
            <w:tcBorders>
              <w:top w:val="single" w:sz="4" w:space="0" w:color="auto"/>
              <w:left w:val="single" w:sz="4" w:space="0" w:color="auto"/>
              <w:bottom w:val="single" w:sz="4" w:space="0" w:color="auto"/>
              <w:right w:val="single" w:sz="4" w:space="0" w:color="auto"/>
            </w:tcBorders>
            <w:vAlign w:val="center"/>
          </w:tcPr>
          <w:p w14:paraId="2C9B828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76.59%</w:t>
            </w:r>
          </w:p>
        </w:tc>
      </w:tr>
      <w:tr w:rsidR="00ED172B" w:rsidRPr="00ED172B" w14:paraId="7A8C6CBB" w14:textId="77777777" w:rsidTr="00A40EE1">
        <w:trPr>
          <w:trHeight w:val="70"/>
        </w:trPr>
        <w:tc>
          <w:tcPr>
            <w:tcW w:w="500" w:type="pct"/>
            <w:tcBorders>
              <w:top w:val="single" w:sz="4" w:space="0" w:color="auto"/>
              <w:left w:val="single" w:sz="4" w:space="0" w:color="auto"/>
              <w:right w:val="single" w:sz="4" w:space="0" w:color="auto"/>
            </w:tcBorders>
            <w:vAlign w:val="center"/>
          </w:tcPr>
          <w:p w14:paraId="5CD7DB1C"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A2</w:t>
            </w:r>
          </w:p>
        </w:tc>
        <w:tc>
          <w:tcPr>
            <w:tcW w:w="500" w:type="pct"/>
            <w:tcBorders>
              <w:top w:val="single" w:sz="4" w:space="0" w:color="auto"/>
              <w:left w:val="single" w:sz="4" w:space="0" w:color="auto"/>
              <w:right w:val="single" w:sz="4" w:space="0" w:color="auto"/>
            </w:tcBorders>
          </w:tcPr>
          <w:p w14:paraId="5FFDAB7E" w14:textId="77777777" w:rsidR="007F3393" w:rsidRPr="00ED172B" w:rsidRDefault="001E39E3" w:rsidP="001E39E3">
            <w:pPr>
              <w:jc w:val="center"/>
              <w:rPr>
                <w:color w:val="000000" w:themeColor="text1"/>
              </w:rPr>
            </w:pPr>
            <w:r w:rsidRPr="00ED172B">
              <w:rPr>
                <w:color w:val="000000" w:themeColor="text1"/>
              </w:rPr>
              <w:t>2022</w:t>
            </w:r>
          </w:p>
        </w:tc>
        <w:tc>
          <w:tcPr>
            <w:tcW w:w="500" w:type="pct"/>
            <w:tcBorders>
              <w:top w:val="single" w:sz="4" w:space="0" w:color="auto"/>
              <w:left w:val="single" w:sz="4" w:space="0" w:color="auto"/>
              <w:bottom w:val="single" w:sz="4" w:space="0" w:color="auto"/>
              <w:right w:val="single" w:sz="4" w:space="0" w:color="auto"/>
            </w:tcBorders>
            <w:hideMark/>
          </w:tcPr>
          <w:p w14:paraId="21A8F750"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6A24792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52.00%</w:t>
            </w:r>
          </w:p>
        </w:tc>
        <w:tc>
          <w:tcPr>
            <w:tcW w:w="700" w:type="pct"/>
            <w:tcBorders>
              <w:top w:val="single" w:sz="4" w:space="0" w:color="auto"/>
              <w:left w:val="single" w:sz="4" w:space="0" w:color="auto"/>
              <w:bottom w:val="single" w:sz="4" w:space="0" w:color="auto"/>
              <w:right w:val="single" w:sz="4" w:space="0" w:color="auto"/>
            </w:tcBorders>
            <w:vAlign w:val="center"/>
          </w:tcPr>
          <w:p w14:paraId="1449874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52.00%</w:t>
            </w:r>
          </w:p>
        </w:tc>
        <w:tc>
          <w:tcPr>
            <w:tcW w:w="700" w:type="pct"/>
            <w:tcBorders>
              <w:top w:val="single" w:sz="4" w:space="0" w:color="auto"/>
              <w:left w:val="single" w:sz="4" w:space="0" w:color="auto"/>
              <w:bottom w:val="single" w:sz="4" w:space="0" w:color="auto"/>
              <w:right w:val="single" w:sz="4" w:space="0" w:color="auto"/>
            </w:tcBorders>
            <w:vAlign w:val="center"/>
          </w:tcPr>
          <w:p w14:paraId="63D7265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52.00%</w:t>
            </w:r>
          </w:p>
        </w:tc>
        <w:tc>
          <w:tcPr>
            <w:tcW w:w="700" w:type="pct"/>
            <w:tcBorders>
              <w:top w:val="single" w:sz="4" w:space="0" w:color="auto"/>
              <w:left w:val="single" w:sz="4" w:space="0" w:color="auto"/>
              <w:bottom w:val="single" w:sz="4" w:space="0" w:color="auto"/>
              <w:right w:val="single" w:sz="4" w:space="0" w:color="auto"/>
            </w:tcBorders>
            <w:vAlign w:val="center"/>
          </w:tcPr>
          <w:p w14:paraId="4FE62A3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52.00%</w:t>
            </w:r>
          </w:p>
        </w:tc>
        <w:tc>
          <w:tcPr>
            <w:tcW w:w="700" w:type="pct"/>
            <w:tcBorders>
              <w:top w:val="single" w:sz="4" w:space="0" w:color="auto"/>
              <w:left w:val="single" w:sz="4" w:space="0" w:color="auto"/>
              <w:bottom w:val="single" w:sz="4" w:space="0" w:color="auto"/>
              <w:right w:val="single" w:sz="4" w:space="0" w:color="auto"/>
            </w:tcBorders>
            <w:vAlign w:val="center"/>
          </w:tcPr>
          <w:p w14:paraId="4BEDBD8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52.00%</w:t>
            </w:r>
          </w:p>
        </w:tc>
      </w:tr>
      <w:tr w:rsidR="00ED172B" w:rsidRPr="00ED172B" w14:paraId="0D15A23D" w14:textId="77777777" w:rsidTr="00A40EE1">
        <w:trPr>
          <w:trHeight w:val="85"/>
        </w:trPr>
        <w:tc>
          <w:tcPr>
            <w:tcW w:w="500" w:type="pct"/>
            <w:tcBorders>
              <w:left w:val="single" w:sz="4" w:space="0" w:color="auto"/>
              <w:right w:val="single" w:sz="4" w:space="0" w:color="auto"/>
            </w:tcBorders>
            <w:vAlign w:val="center"/>
          </w:tcPr>
          <w:p w14:paraId="783444D5"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500" w:type="pct"/>
            <w:tcBorders>
              <w:left w:val="single" w:sz="4" w:space="0" w:color="auto"/>
              <w:right w:val="single" w:sz="4" w:space="0" w:color="auto"/>
            </w:tcBorders>
          </w:tcPr>
          <w:p w14:paraId="084185CF" w14:textId="77777777" w:rsidR="007F3393" w:rsidRPr="00ED172B" w:rsidRDefault="001E39E3" w:rsidP="001E39E3">
            <w:pPr>
              <w:jc w:val="center"/>
              <w:rPr>
                <w:color w:val="000000" w:themeColor="text1"/>
              </w:rPr>
            </w:pPr>
            <w:r w:rsidRPr="00ED172B">
              <w:rPr>
                <w:color w:val="000000" w:themeColor="text1"/>
              </w:rPr>
              <w:t>48.80%</w:t>
            </w:r>
          </w:p>
        </w:tc>
        <w:tc>
          <w:tcPr>
            <w:tcW w:w="500" w:type="pct"/>
            <w:tcBorders>
              <w:top w:val="single" w:sz="4" w:space="0" w:color="auto"/>
              <w:left w:val="single" w:sz="4" w:space="0" w:color="auto"/>
              <w:bottom w:val="single" w:sz="4" w:space="0" w:color="auto"/>
              <w:right w:val="single" w:sz="4" w:space="0" w:color="auto"/>
            </w:tcBorders>
            <w:hideMark/>
          </w:tcPr>
          <w:p w14:paraId="54B7155D"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0EBB6F59"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44.73%</w:t>
            </w:r>
          </w:p>
        </w:tc>
        <w:tc>
          <w:tcPr>
            <w:tcW w:w="700" w:type="pct"/>
            <w:tcBorders>
              <w:top w:val="single" w:sz="4" w:space="0" w:color="auto"/>
              <w:left w:val="single" w:sz="4" w:space="0" w:color="auto"/>
              <w:bottom w:val="single" w:sz="4" w:space="0" w:color="auto"/>
              <w:right w:val="single" w:sz="4" w:space="0" w:color="auto"/>
            </w:tcBorders>
            <w:vAlign w:val="center"/>
          </w:tcPr>
          <w:p w14:paraId="47AB65A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45.83%</w:t>
            </w:r>
          </w:p>
        </w:tc>
        <w:tc>
          <w:tcPr>
            <w:tcW w:w="700" w:type="pct"/>
            <w:tcBorders>
              <w:top w:val="single" w:sz="4" w:space="0" w:color="auto"/>
              <w:left w:val="single" w:sz="4" w:space="0" w:color="auto"/>
              <w:bottom w:val="single" w:sz="4" w:space="0" w:color="auto"/>
              <w:right w:val="single" w:sz="4" w:space="0" w:color="auto"/>
            </w:tcBorders>
            <w:vAlign w:val="center"/>
          </w:tcPr>
          <w:p w14:paraId="1567739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48.61%</w:t>
            </w:r>
          </w:p>
        </w:tc>
        <w:tc>
          <w:tcPr>
            <w:tcW w:w="700" w:type="pct"/>
            <w:tcBorders>
              <w:top w:val="single" w:sz="4" w:space="0" w:color="auto"/>
              <w:left w:val="single" w:sz="4" w:space="0" w:color="auto"/>
              <w:bottom w:val="single" w:sz="4" w:space="0" w:color="auto"/>
              <w:right w:val="single" w:sz="4" w:space="0" w:color="auto"/>
            </w:tcBorders>
            <w:vAlign w:val="center"/>
          </w:tcPr>
          <w:p w14:paraId="3CCB0D80"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48.80%</w:t>
            </w:r>
          </w:p>
        </w:tc>
        <w:tc>
          <w:tcPr>
            <w:tcW w:w="700" w:type="pct"/>
            <w:tcBorders>
              <w:top w:val="single" w:sz="4" w:space="0" w:color="auto"/>
              <w:left w:val="single" w:sz="4" w:space="0" w:color="auto"/>
              <w:bottom w:val="single" w:sz="4" w:space="0" w:color="auto"/>
              <w:right w:val="single" w:sz="4" w:space="0" w:color="auto"/>
            </w:tcBorders>
            <w:vAlign w:val="center"/>
          </w:tcPr>
          <w:p w14:paraId="54D1BB92"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70.95%</w:t>
            </w:r>
          </w:p>
        </w:tc>
      </w:tr>
      <w:tr w:rsidR="00ED172B" w:rsidRPr="00ED172B" w14:paraId="7367670B" w14:textId="77777777" w:rsidTr="00A40EE1">
        <w:trPr>
          <w:trHeight w:val="85"/>
        </w:trPr>
        <w:tc>
          <w:tcPr>
            <w:tcW w:w="500" w:type="pct"/>
            <w:tcBorders>
              <w:left w:val="single" w:sz="4" w:space="0" w:color="auto"/>
              <w:right w:val="single" w:sz="4" w:space="0" w:color="auto"/>
            </w:tcBorders>
            <w:vAlign w:val="center"/>
          </w:tcPr>
          <w:p w14:paraId="11FDBB9B"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tcPr>
          <w:p w14:paraId="4E12DAB0" w14:textId="77777777" w:rsidR="007F3393" w:rsidRPr="00ED172B" w:rsidRDefault="001E39E3" w:rsidP="001E39E3">
            <w:pPr>
              <w:jc w:val="center"/>
              <w:rPr>
                <w:color w:val="000000" w:themeColor="text1"/>
              </w:rPr>
            </w:pPr>
            <w:r w:rsidRPr="00ED172B">
              <w:rPr>
                <w:color w:val="000000" w:themeColor="text1"/>
              </w:rPr>
              <w:t>2022</w:t>
            </w:r>
          </w:p>
        </w:tc>
        <w:tc>
          <w:tcPr>
            <w:tcW w:w="500" w:type="pct"/>
            <w:tcBorders>
              <w:top w:val="single" w:sz="4" w:space="0" w:color="auto"/>
              <w:left w:val="single" w:sz="4" w:space="0" w:color="auto"/>
              <w:bottom w:val="single" w:sz="4" w:space="0" w:color="auto"/>
              <w:right w:val="single" w:sz="4" w:space="0" w:color="auto"/>
            </w:tcBorders>
          </w:tcPr>
          <w:p w14:paraId="445C6050"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26E7B6C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58.00%</w:t>
            </w:r>
          </w:p>
        </w:tc>
        <w:tc>
          <w:tcPr>
            <w:tcW w:w="700" w:type="pct"/>
            <w:tcBorders>
              <w:top w:val="single" w:sz="4" w:space="0" w:color="auto"/>
              <w:left w:val="single" w:sz="4" w:space="0" w:color="auto"/>
              <w:bottom w:val="single" w:sz="4" w:space="0" w:color="auto"/>
              <w:right w:val="single" w:sz="4" w:space="0" w:color="auto"/>
            </w:tcBorders>
            <w:vAlign w:val="center"/>
          </w:tcPr>
          <w:p w14:paraId="225ACDD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58.00%</w:t>
            </w:r>
          </w:p>
        </w:tc>
        <w:tc>
          <w:tcPr>
            <w:tcW w:w="700" w:type="pct"/>
            <w:tcBorders>
              <w:top w:val="single" w:sz="4" w:space="0" w:color="auto"/>
              <w:left w:val="single" w:sz="4" w:space="0" w:color="auto"/>
              <w:bottom w:val="single" w:sz="4" w:space="0" w:color="auto"/>
              <w:right w:val="single" w:sz="4" w:space="0" w:color="auto"/>
            </w:tcBorders>
            <w:vAlign w:val="center"/>
          </w:tcPr>
          <w:p w14:paraId="1097DF7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58.00%</w:t>
            </w:r>
          </w:p>
        </w:tc>
        <w:tc>
          <w:tcPr>
            <w:tcW w:w="700" w:type="pct"/>
            <w:tcBorders>
              <w:top w:val="single" w:sz="4" w:space="0" w:color="auto"/>
              <w:left w:val="single" w:sz="4" w:space="0" w:color="auto"/>
              <w:bottom w:val="single" w:sz="4" w:space="0" w:color="auto"/>
              <w:right w:val="single" w:sz="4" w:space="0" w:color="auto"/>
            </w:tcBorders>
            <w:vAlign w:val="center"/>
          </w:tcPr>
          <w:p w14:paraId="2D64A5B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58.00%</w:t>
            </w:r>
          </w:p>
        </w:tc>
        <w:tc>
          <w:tcPr>
            <w:tcW w:w="700" w:type="pct"/>
            <w:tcBorders>
              <w:top w:val="single" w:sz="4" w:space="0" w:color="auto"/>
              <w:left w:val="single" w:sz="4" w:space="0" w:color="auto"/>
              <w:bottom w:val="single" w:sz="4" w:space="0" w:color="auto"/>
              <w:right w:val="single" w:sz="4" w:space="0" w:color="auto"/>
            </w:tcBorders>
            <w:vAlign w:val="center"/>
          </w:tcPr>
          <w:p w14:paraId="0935E38E"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58.00%</w:t>
            </w:r>
          </w:p>
        </w:tc>
      </w:tr>
      <w:tr w:rsidR="00ED172B" w:rsidRPr="00ED172B" w14:paraId="29E3C987" w14:textId="77777777" w:rsidTr="00A40EE1">
        <w:trPr>
          <w:trHeight w:val="85"/>
        </w:trPr>
        <w:tc>
          <w:tcPr>
            <w:tcW w:w="500" w:type="pct"/>
            <w:tcBorders>
              <w:left w:val="single" w:sz="4" w:space="0" w:color="auto"/>
              <w:right w:val="single" w:sz="4" w:space="0" w:color="auto"/>
            </w:tcBorders>
            <w:vAlign w:val="center"/>
          </w:tcPr>
          <w:p w14:paraId="60E9147E"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500" w:type="pct"/>
            <w:tcBorders>
              <w:left w:val="single" w:sz="4" w:space="0" w:color="auto"/>
              <w:right w:val="single" w:sz="4" w:space="0" w:color="auto"/>
            </w:tcBorders>
          </w:tcPr>
          <w:p w14:paraId="68C41D95" w14:textId="77777777" w:rsidR="007F3393" w:rsidRPr="00ED172B" w:rsidRDefault="001E39E3" w:rsidP="001E39E3">
            <w:pPr>
              <w:jc w:val="center"/>
              <w:rPr>
                <w:color w:val="000000" w:themeColor="text1"/>
              </w:rPr>
            </w:pPr>
            <w:r w:rsidRPr="00ED172B">
              <w:rPr>
                <w:color w:val="000000" w:themeColor="text1"/>
              </w:rPr>
              <w:t>46.71%</w:t>
            </w:r>
          </w:p>
        </w:tc>
        <w:tc>
          <w:tcPr>
            <w:tcW w:w="500" w:type="pct"/>
            <w:tcBorders>
              <w:top w:val="single" w:sz="4" w:space="0" w:color="auto"/>
              <w:left w:val="single" w:sz="4" w:space="0" w:color="auto"/>
              <w:bottom w:val="single" w:sz="4" w:space="0" w:color="auto"/>
              <w:right w:val="single" w:sz="4" w:space="0" w:color="auto"/>
            </w:tcBorders>
          </w:tcPr>
          <w:p w14:paraId="46AFC7FA"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60979C6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46.18%</w:t>
            </w:r>
          </w:p>
        </w:tc>
        <w:tc>
          <w:tcPr>
            <w:tcW w:w="700" w:type="pct"/>
            <w:tcBorders>
              <w:top w:val="single" w:sz="4" w:space="0" w:color="auto"/>
              <w:left w:val="single" w:sz="4" w:space="0" w:color="auto"/>
              <w:bottom w:val="single" w:sz="4" w:space="0" w:color="auto"/>
              <w:right w:val="single" w:sz="4" w:space="0" w:color="auto"/>
            </w:tcBorders>
            <w:vAlign w:val="center"/>
          </w:tcPr>
          <w:p w14:paraId="335832C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47.13%</w:t>
            </w:r>
          </w:p>
        </w:tc>
        <w:tc>
          <w:tcPr>
            <w:tcW w:w="700" w:type="pct"/>
            <w:tcBorders>
              <w:top w:val="single" w:sz="4" w:space="0" w:color="auto"/>
              <w:left w:val="single" w:sz="4" w:space="0" w:color="auto"/>
              <w:bottom w:val="single" w:sz="4" w:space="0" w:color="auto"/>
              <w:right w:val="single" w:sz="4" w:space="0" w:color="auto"/>
            </w:tcBorders>
            <w:vAlign w:val="center"/>
          </w:tcPr>
          <w:p w14:paraId="59A0AC7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47.18%</w:t>
            </w:r>
          </w:p>
        </w:tc>
        <w:tc>
          <w:tcPr>
            <w:tcW w:w="700" w:type="pct"/>
            <w:tcBorders>
              <w:top w:val="single" w:sz="4" w:space="0" w:color="auto"/>
              <w:left w:val="single" w:sz="4" w:space="0" w:color="auto"/>
              <w:bottom w:val="single" w:sz="4" w:space="0" w:color="auto"/>
              <w:right w:val="single" w:sz="4" w:space="0" w:color="auto"/>
            </w:tcBorders>
            <w:vAlign w:val="center"/>
          </w:tcPr>
          <w:p w14:paraId="04056FE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46.71%</w:t>
            </w:r>
          </w:p>
        </w:tc>
        <w:tc>
          <w:tcPr>
            <w:tcW w:w="700" w:type="pct"/>
            <w:tcBorders>
              <w:top w:val="single" w:sz="4" w:space="0" w:color="auto"/>
              <w:left w:val="single" w:sz="4" w:space="0" w:color="auto"/>
              <w:bottom w:val="single" w:sz="4" w:space="0" w:color="auto"/>
              <w:right w:val="single" w:sz="4" w:space="0" w:color="auto"/>
            </w:tcBorders>
            <w:vAlign w:val="center"/>
          </w:tcPr>
          <w:p w14:paraId="5FA3CC5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53.15%</w:t>
            </w:r>
          </w:p>
        </w:tc>
      </w:tr>
      <w:tr w:rsidR="00ED172B" w:rsidRPr="00ED172B" w14:paraId="21A6CD65" w14:textId="77777777" w:rsidTr="00A40EE1">
        <w:trPr>
          <w:trHeight w:val="85"/>
        </w:trPr>
        <w:tc>
          <w:tcPr>
            <w:tcW w:w="500" w:type="pct"/>
            <w:tcBorders>
              <w:left w:val="single" w:sz="4" w:space="0" w:color="auto"/>
              <w:right w:val="single" w:sz="4" w:space="0" w:color="auto"/>
            </w:tcBorders>
            <w:vAlign w:val="center"/>
          </w:tcPr>
          <w:p w14:paraId="22B70D4C"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tcPr>
          <w:p w14:paraId="6385DA80" w14:textId="77777777" w:rsidR="007F3393" w:rsidRPr="00ED172B" w:rsidRDefault="001E39E3" w:rsidP="001E39E3">
            <w:pPr>
              <w:jc w:val="center"/>
              <w:rPr>
                <w:color w:val="000000" w:themeColor="text1"/>
              </w:rPr>
            </w:pPr>
            <w:r w:rsidRPr="00ED172B">
              <w:rPr>
                <w:color w:val="000000" w:themeColor="text1"/>
              </w:rPr>
              <w:t>2022</w:t>
            </w:r>
          </w:p>
        </w:tc>
        <w:tc>
          <w:tcPr>
            <w:tcW w:w="500" w:type="pct"/>
            <w:tcBorders>
              <w:top w:val="single" w:sz="4" w:space="0" w:color="auto"/>
              <w:left w:val="single" w:sz="4" w:space="0" w:color="auto"/>
              <w:bottom w:val="single" w:sz="4" w:space="0" w:color="auto"/>
              <w:right w:val="single" w:sz="4" w:space="0" w:color="auto"/>
            </w:tcBorders>
          </w:tcPr>
          <w:p w14:paraId="211C3BB1"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532AAAF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34.00%</w:t>
            </w:r>
          </w:p>
        </w:tc>
        <w:tc>
          <w:tcPr>
            <w:tcW w:w="700" w:type="pct"/>
            <w:tcBorders>
              <w:top w:val="single" w:sz="4" w:space="0" w:color="auto"/>
              <w:left w:val="single" w:sz="4" w:space="0" w:color="auto"/>
              <w:bottom w:val="single" w:sz="4" w:space="0" w:color="auto"/>
              <w:right w:val="single" w:sz="4" w:space="0" w:color="auto"/>
            </w:tcBorders>
            <w:vAlign w:val="center"/>
          </w:tcPr>
          <w:p w14:paraId="26ED083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34.00%</w:t>
            </w:r>
          </w:p>
        </w:tc>
        <w:tc>
          <w:tcPr>
            <w:tcW w:w="700" w:type="pct"/>
            <w:tcBorders>
              <w:top w:val="single" w:sz="4" w:space="0" w:color="auto"/>
              <w:left w:val="single" w:sz="4" w:space="0" w:color="auto"/>
              <w:bottom w:val="single" w:sz="4" w:space="0" w:color="auto"/>
              <w:right w:val="single" w:sz="4" w:space="0" w:color="auto"/>
            </w:tcBorders>
            <w:vAlign w:val="center"/>
          </w:tcPr>
          <w:p w14:paraId="6E60FAF2"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34.00%</w:t>
            </w:r>
          </w:p>
        </w:tc>
        <w:tc>
          <w:tcPr>
            <w:tcW w:w="700" w:type="pct"/>
            <w:tcBorders>
              <w:top w:val="single" w:sz="4" w:space="0" w:color="auto"/>
              <w:left w:val="single" w:sz="4" w:space="0" w:color="auto"/>
              <w:bottom w:val="single" w:sz="4" w:space="0" w:color="auto"/>
              <w:right w:val="single" w:sz="4" w:space="0" w:color="auto"/>
            </w:tcBorders>
            <w:vAlign w:val="center"/>
          </w:tcPr>
          <w:p w14:paraId="1988155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34.00%</w:t>
            </w:r>
          </w:p>
        </w:tc>
        <w:tc>
          <w:tcPr>
            <w:tcW w:w="700" w:type="pct"/>
            <w:tcBorders>
              <w:top w:val="single" w:sz="4" w:space="0" w:color="auto"/>
              <w:left w:val="single" w:sz="4" w:space="0" w:color="auto"/>
              <w:bottom w:val="single" w:sz="4" w:space="0" w:color="auto"/>
              <w:right w:val="single" w:sz="4" w:space="0" w:color="auto"/>
            </w:tcBorders>
            <w:vAlign w:val="center"/>
          </w:tcPr>
          <w:p w14:paraId="14A88FF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34.00%</w:t>
            </w:r>
          </w:p>
        </w:tc>
      </w:tr>
      <w:tr w:rsidR="00ED172B" w:rsidRPr="00ED172B" w14:paraId="23D2EB65" w14:textId="77777777" w:rsidTr="00A40EE1">
        <w:trPr>
          <w:trHeight w:val="85"/>
        </w:trPr>
        <w:tc>
          <w:tcPr>
            <w:tcW w:w="500" w:type="pct"/>
            <w:tcBorders>
              <w:left w:val="single" w:sz="4" w:space="0" w:color="auto"/>
              <w:right w:val="single" w:sz="4" w:space="0" w:color="auto"/>
            </w:tcBorders>
            <w:vAlign w:val="center"/>
          </w:tcPr>
          <w:p w14:paraId="1722620D"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500" w:type="pct"/>
            <w:tcBorders>
              <w:left w:val="single" w:sz="4" w:space="0" w:color="auto"/>
              <w:right w:val="single" w:sz="4" w:space="0" w:color="auto"/>
            </w:tcBorders>
          </w:tcPr>
          <w:p w14:paraId="1D1855B5" w14:textId="77777777" w:rsidR="007F3393" w:rsidRPr="00ED172B" w:rsidRDefault="001E39E3" w:rsidP="001E39E3">
            <w:pPr>
              <w:jc w:val="center"/>
              <w:rPr>
                <w:color w:val="000000" w:themeColor="text1"/>
              </w:rPr>
            </w:pPr>
            <w:r w:rsidRPr="00ED172B">
              <w:rPr>
                <w:color w:val="000000" w:themeColor="text1"/>
              </w:rPr>
              <w:t>35.42%</w:t>
            </w:r>
          </w:p>
        </w:tc>
        <w:tc>
          <w:tcPr>
            <w:tcW w:w="500" w:type="pct"/>
            <w:tcBorders>
              <w:top w:val="single" w:sz="4" w:space="0" w:color="auto"/>
              <w:left w:val="single" w:sz="4" w:space="0" w:color="auto"/>
              <w:bottom w:val="single" w:sz="4" w:space="0" w:color="auto"/>
              <w:right w:val="single" w:sz="4" w:space="0" w:color="auto"/>
            </w:tcBorders>
          </w:tcPr>
          <w:p w14:paraId="499CB115"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1B42528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29.70%</w:t>
            </w:r>
          </w:p>
        </w:tc>
        <w:tc>
          <w:tcPr>
            <w:tcW w:w="700" w:type="pct"/>
            <w:tcBorders>
              <w:top w:val="single" w:sz="4" w:space="0" w:color="auto"/>
              <w:left w:val="single" w:sz="4" w:space="0" w:color="auto"/>
              <w:bottom w:val="single" w:sz="4" w:space="0" w:color="auto"/>
              <w:right w:val="single" w:sz="4" w:space="0" w:color="auto"/>
            </w:tcBorders>
            <w:vAlign w:val="center"/>
          </w:tcPr>
          <w:p w14:paraId="5A653ECA"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33.03%</w:t>
            </w:r>
          </w:p>
        </w:tc>
        <w:tc>
          <w:tcPr>
            <w:tcW w:w="700" w:type="pct"/>
            <w:tcBorders>
              <w:top w:val="single" w:sz="4" w:space="0" w:color="auto"/>
              <w:left w:val="single" w:sz="4" w:space="0" w:color="auto"/>
              <w:bottom w:val="single" w:sz="4" w:space="0" w:color="auto"/>
              <w:right w:val="single" w:sz="4" w:space="0" w:color="auto"/>
            </w:tcBorders>
            <w:vAlign w:val="center"/>
          </w:tcPr>
          <w:p w14:paraId="7926B03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34.26%</w:t>
            </w:r>
          </w:p>
        </w:tc>
        <w:tc>
          <w:tcPr>
            <w:tcW w:w="700" w:type="pct"/>
            <w:tcBorders>
              <w:top w:val="single" w:sz="4" w:space="0" w:color="auto"/>
              <w:left w:val="single" w:sz="4" w:space="0" w:color="auto"/>
              <w:bottom w:val="single" w:sz="4" w:space="0" w:color="auto"/>
              <w:right w:val="single" w:sz="4" w:space="0" w:color="auto"/>
            </w:tcBorders>
            <w:vAlign w:val="center"/>
          </w:tcPr>
          <w:p w14:paraId="5C43DA5E"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35.42%</w:t>
            </w:r>
          </w:p>
        </w:tc>
        <w:tc>
          <w:tcPr>
            <w:tcW w:w="700" w:type="pct"/>
            <w:tcBorders>
              <w:top w:val="single" w:sz="4" w:space="0" w:color="auto"/>
              <w:left w:val="single" w:sz="4" w:space="0" w:color="auto"/>
              <w:bottom w:val="single" w:sz="4" w:space="0" w:color="auto"/>
              <w:right w:val="single" w:sz="4" w:space="0" w:color="auto"/>
            </w:tcBorders>
            <w:vAlign w:val="center"/>
          </w:tcPr>
          <w:p w14:paraId="321D29A2"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47.42%</w:t>
            </w:r>
          </w:p>
        </w:tc>
      </w:tr>
      <w:tr w:rsidR="00ED172B" w:rsidRPr="00ED172B" w14:paraId="2FB0598B" w14:textId="77777777" w:rsidTr="00A40EE1">
        <w:trPr>
          <w:trHeight w:val="85"/>
        </w:trPr>
        <w:tc>
          <w:tcPr>
            <w:tcW w:w="500" w:type="pct"/>
            <w:tcBorders>
              <w:left w:val="single" w:sz="4" w:space="0" w:color="auto"/>
              <w:right w:val="single" w:sz="4" w:space="0" w:color="auto"/>
            </w:tcBorders>
            <w:vAlign w:val="center"/>
          </w:tcPr>
          <w:p w14:paraId="6D9D365D"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tcPr>
          <w:p w14:paraId="433B8239" w14:textId="77777777" w:rsidR="007F3393" w:rsidRPr="00ED172B" w:rsidRDefault="005C14C2" w:rsidP="005C14C2">
            <w:pPr>
              <w:jc w:val="center"/>
              <w:rPr>
                <w:color w:val="000000" w:themeColor="text1"/>
              </w:rPr>
            </w:pPr>
            <w:r w:rsidRPr="00ED172B">
              <w:rPr>
                <w:color w:val="000000" w:themeColor="text1"/>
              </w:rPr>
              <w:t>2022</w:t>
            </w:r>
          </w:p>
        </w:tc>
        <w:tc>
          <w:tcPr>
            <w:tcW w:w="500" w:type="pct"/>
            <w:tcBorders>
              <w:top w:val="single" w:sz="4" w:space="0" w:color="auto"/>
              <w:left w:val="single" w:sz="4" w:space="0" w:color="auto"/>
              <w:bottom w:val="single" w:sz="4" w:space="0" w:color="auto"/>
              <w:right w:val="single" w:sz="4" w:space="0" w:color="auto"/>
            </w:tcBorders>
          </w:tcPr>
          <w:p w14:paraId="5CFFA909"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5704A06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67.50%</w:t>
            </w:r>
          </w:p>
        </w:tc>
        <w:tc>
          <w:tcPr>
            <w:tcW w:w="700" w:type="pct"/>
            <w:tcBorders>
              <w:top w:val="single" w:sz="4" w:space="0" w:color="auto"/>
              <w:left w:val="single" w:sz="4" w:space="0" w:color="auto"/>
              <w:bottom w:val="single" w:sz="4" w:space="0" w:color="auto"/>
              <w:right w:val="single" w:sz="4" w:space="0" w:color="auto"/>
            </w:tcBorders>
            <w:vAlign w:val="center"/>
          </w:tcPr>
          <w:p w14:paraId="678B4D7D"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67.50%</w:t>
            </w:r>
          </w:p>
        </w:tc>
        <w:tc>
          <w:tcPr>
            <w:tcW w:w="700" w:type="pct"/>
            <w:tcBorders>
              <w:top w:val="single" w:sz="4" w:space="0" w:color="auto"/>
              <w:left w:val="single" w:sz="4" w:space="0" w:color="auto"/>
              <w:bottom w:val="single" w:sz="4" w:space="0" w:color="auto"/>
              <w:right w:val="single" w:sz="4" w:space="0" w:color="auto"/>
            </w:tcBorders>
            <w:vAlign w:val="center"/>
          </w:tcPr>
          <w:p w14:paraId="662890B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67.50%</w:t>
            </w:r>
          </w:p>
        </w:tc>
        <w:tc>
          <w:tcPr>
            <w:tcW w:w="700" w:type="pct"/>
            <w:tcBorders>
              <w:top w:val="single" w:sz="4" w:space="0" w:color="auto"/>
              <w:left w:val="single" w:sz="4" w:space="0" w:color="auto"/>
              <w:bottom w:val="single" w:sz="4" w:space="0" w:color="auto"/>
              <w:right w:val="single" w:sz="4" w:space="0" w:color="auto"/>
            </w:tcBorders>
            <w:vAlign w:val="center"/>
          </w:tcPr>
          <w:p w14:paraId="3D44DAA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67.50%</w:t>
            </w:r>
          </w:p>
        </w:tc>
        <w:tc>
          <w:tcPr>
            <w:tcW w:w="700" w:type="pct"/>
            <w:tcBorders>
              <w:top w:val="single" w:sz="4" w:space="0" w:color="auto"/>
              <w:left w:val="single" w:sz="4" w:space="0" w:color="auto"/>
              <w:bottom w:val="single" w:sz="4" w:space="0" w:color="auto"/>
              <w:right w:val="single" w:sz="4" w:space="0" w:color="auto"/>
            </w:tcBorders>
            <w:vAlign w:val="center"/>
          </w:tcPr>
          <w:p w14:paraId="1585238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67.50%</w:t>
            </w:r>
          </w:p>
        </w:tc>
      </w:tr>
      <w:tr w:rsidR="00ED172B" w:rsidRPr="00ED172B" w14:paraId="3F4DBA5D" w14:textId="77777777" w:rsidTr="00A40EE1">
        <w:trPr>
          <w:trHeight w:val="85"/>
        </w:trPr>
        <w:tc>
          <w:tcPr>
            <w:tcW w:w="500" w:type="pct"/>
            <w:tcBorders>
              <w:left w:val="single" w:sz="4" w:space="0" w:color="auto"/>
              <w:right w:val="single" w:sz="4" w:space="0" w:color="auto"/>
            </w:tcBorders>
            <w:vAlign w:val="center"/>
          </w:tcPr>
          <w:p w14:paraId="1B67F421"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500" w:type="pct"/>
            <w:tcBorders>
              <w:left w:val="single" w:sz="4" w:space="0" w:color="auto"/>
              <w:right w:val="single" w:sz="4" w:space="0" w:color="auto"/>
            </w:tcBorders>
          </w:tcPr>
          <w:p w14:paraId="7E0D462A" w14:textId="77777777" w:rsidR="007F3393" w:rsidRPr="00ED172B" w:rsidRDefault="005C14C2" w:rsidP="005C14C2">
            <w:pPr>
              <w:jc w:val="center"/>
              <w:rPr>
                <w:color w:val="000000" w:themeColor="text1"/>
              </w:rPr>
            </w:pPr>
            <w:r w:rsidRPr="00ED172B">
              <w:rPr>
                <w:color w:val="000000" w:themeColor="text1"/>
              </w:rPr>
              <w:t>63.29%</w:t>
            </w:r>
          </w:p>
        </w:tc>
        <w:tc>
          <w:tcPr>
            <w:tcW w:w="500" w:type="pct"/>
            <w:tcBorders>
              <w:top w:val="single" w:sz="4" w:space="0" w:color="auto"/>
              <w:left w:val="single" w:sz="4" w:space="0" w:color="auto"/>
              <w:bottom w:val="single" w:sz="4" w:space="0" w:color="auto"/>
              <w:right w:val="single" w:sz="4" w:space="0" w:color="auto"/>
            </w:tcBorders>
          </w:tcPr>
          <w:p w14:paraId="5E49B197"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4C2EE34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63.28%</w:t>
            </w:r>
          </w:p>
        </w:tc>
        <w:tc>
          <w:tcPr>
            <w:tcW w:w="700" w:type="pct"/>
            <w:tcBorders>
              <w:top w:val="single" w:sz="4" w:space="0" w:color="auto"/>
              <w:left w:val="single" w:sz="4" w:space="0" w:color="auto"/>
              <w:bottom w:val="single" w:sz="4" w:space="0" w:color="auto"/>
              <w:right w:val="single" w:sz="4" w:space="0" w:color="auto"/>
            </w:tcBorders>
            <w:vAlign w:val="center"/>
          </w:tcPr>
          <w:p w14:paraId="3DD199B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65.46%</w:t>
            </w:r>
          </w:p>
        </w:tc>
        <w:tc>
          <w:tcPr>
            <w:tcW w:w="700" w:type="pct"/>
            <w:tcBorders>
              <w:top w:val="single" w:sz="4" w:space="0" w:color="auto"/>
              <w:left w:val="single" w:sz="4" w:space="0" w:color="auto"/>
              <w:bottom w:val="single" w:sz="4" w:space="0" w:color="auto"/>
              <w:right w:val="single" w:sz="4" w:space="0" w:color="auto"/>
            </w:tcBorders>
            <w:vAlign w:val="center"/>
          </w:tcPr>
          <w:p w14:paraId="2D03F966"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64.08%</w:t>
            </w:r>
          </w:p>
        </w:tc>
        <w:tc>
          <w:tcPr>
            <w:tcW w:w="700" w:type="pct"/>
            <w:tcBorders>
              <w:top w:val="single" w:sz="4" w:space="0" w:color="auto"/>
              <w:left w:val="single" w:sz="4" w:space="0" w:color="auto"/>
              <w:bottom w:val="single" w:sz="4" w:space="0" w:color="auto"/>
              <w:right w:val="single" w:sz="4" w:space="0" w:color="auto"/>
            </w:tcBorders>
            <w:vAlign w:val="center"/>
          </w:tcPr>
          <w:p w14:paraId="0C837CB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63.29%</w:t>
            </w:r>
          </w:p>
        </w:tc>
        <w:tc>
          <w:tcPr>
            <w:tcW w:w="700" w:type="pct"/>
            <w:tcBorders>
              <w:top w:val="single" w:sz="4" w:space="0" w:color="auto"/>
              <w:left w:val="single" w:sz="4" w:space="0" w:color="auto"/>
              <w:bottom w:val="single" w:sz="4" w:space="0" w:color="auto"/>
              <w:right w:val="single" w:sz="4" w:space="0" w:color="auto"/>
            </w:tcBorders>
            <w:vAlign w:val="center"/>
          </w:tcPr>
          <w:p w14:paraId="2B538CCF"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63.11%</w:t>
            </w:r>
          </w:p>
        </w:tc>
      </w:tr>
      <w:tr w:rsidR="00ED172B" w:rsidRPr="00ED172B" w14:paraId="06546849" w14:textId="77777777" w:rsidTr="00A40EE1">
        <w:trPr>
          <w:trHeight w:val="85"/>
        </w:trPr>
        <w:tc>
          <w:tcPr>
            <w:tcW w:w="500" w:type="pct"/>
            <w:tcBorders>
              <w:left w:val="single" w:sz="4" w:space="0" w:color="auto"/>
              <w:right w:val="single" w:sz="4" w:space="0" w:color="auto"/>
            </w:tcBorders>
            <w:vAlign w:val="center"/>
          </w:tcPr>
          <w:p w14:paraId="23F36178" w14:textId="77777777" w:rsidR="007F3393" w:rsidRPr="00ED172B" w:rsidRDefault="007F3393"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tcPr>
          <w:p w14:paraId="4AEF10B6" w14:textId="77777777" w:rsidR="007F3393" w:rsidRPr="00ED172B" w:rsidRDefault="005C14C2" w:rsidP="005C14C2">
            <w:pPr>
              <w:jc w:val="center"/>
              <w:rPr>
                <w:color w:val="000000" w:themeColor="text1"/>
              </w:rPr>
            </w:pPr>
            <w:r w:rsidRPr="00ED172B">
              <w:rPr>
                <w:color w:val="000000" w:themeColor="text1"/>
              </w:rPr>
              <w:t>2022</w:t>
            </w:r>
          </w:p>
        </w:tc>
        <w:tc>
          <w:tcPr>
            <w:tcW w:w="500" w:type="pct"/>
            <w:tcBorders>
              <w:top w:val="single" w:sz="4" w:space="0" w:color="auto"/>
              <w:left w:val="single" w:sz="4" w:space="0" w:color="auto"/>
              <w:bottom w:val="single" w:sz="4" w:space="0" w:color="auto"/>
              <w:right w:val="single" w:sz="4" w:space="0" w:color="auto"/>
            </w:tcBorders>
          </w:tcPr>
          <w:p w14:paraId="5060E0F8"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Target&gt;=</w:t>
            </w:r>
          </w:p>
        </w:tc>
        <w:tc>
          <w:tcPr>
            <w:tcW w:w="700" w:type="pct"/>
            <w:tcBorders>
              <w:top w:val="single" w:sz="4" w:space="0" w:color="auto"/>
              <w:left w:val="single" w:sz="4" w:space="0" w:color="auto"/>
              <w:bottom w:val="single" w:sz="4" w:space="0" w:color="auto"/>
              <w:right w:val="single" w:sz="4" w:space="0" w:color="auto"/>
            </w:tcBorders>
            <w:vAlign w:val="center"/>
          </w:tcPr>
          <w:p w14:paraId="2FA3758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53.00%</w:t>
            </w:r>
          </w:p>
        </w:tc>
        <w:tc>
          <w:tcPr>
            <w:tcW w:w="700" w:type="pct"/>
            <w:tcBorders>
              <w:top w:val="single" w:sz="4" w:space="0" w:color="auto"/>
              <w:left w:val="single" w:sz="4" w:space="0" w:color="auto"/>
              <w:bottom w:val="single" w:sz="4" w:space="0" w:color="auto"/>
              <w:right w:val="single" w:sz="4" w:space="0" w:color="auto"/>
            </w:tcBorders>
            <w:vAlign w:val="center"/>
          </w:tcPr>
          <w:p w14:paraId="2CE11B1B"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53.00%</w:t>
            </w:r>
          </w:p>
        </w:tc>
        <w:tc>
          <w:tcPr>
            <w:tcW w:w="700" w:type="pct"/>
            <w:tcBorders>
              <w:top w:val="single" w:sz="4" w:space="0" w:color="auto"/>
              <w:left w:val="single" w:sz="4" w:space="0" w:color="auto"/>
              <w:bottom w:val="single" w:sz="4" w:space="0" w:color="auto"/>
              <w:right w:val="single" w:sz="4" w:space="0" w:color="auto"/>
            </w:tcBorders>
            <w:vAlign w:val="center"/>
          </w:tcPr>
          <w:p w14:paraId="52D9AAD5"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53.00%</w:t>
            </w:r>
          </w:p>
        </w:tc>
        <w:tc>
          <w:tcPr>
            <w:tcW w:w="700" w:type="pct"/>
            <w:tcBorders>
              <w:top w:val="single" w:sz="4" w:space="0" w:color="auto"/>
              <w:left w:val="single" w:sz="4" w:space="0" w:color="auto"/>
              <w:bottom w:val="single" w:sz="4" w:space="0" w:color="auto"/>
              <w:right w:val="single" w:sz="4" w:space="0" w:color="auto"/>
            </w:tcBorders>
            <w:vAlign w:val="center"/>
          </w:tcPr>
          <w:p w14:paraId="037B86E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53.00%</w:t>
            </w:r>
          </w:p>
        </w:tc>
        <w:tc>
          <w:tcPr>
            <w:tcW w:w="700" w:type="pct"/>
            <w:tcBorders>
              <w:top w:val="single" w:sz="4" w:space="0" w:color="auto"/>
              <w:left w:val="single" w:sz="4" w:space="0" w:color="auto"/>
              <w:bottom w:val="single" w:sz="4" w:space="0" w:color="auto"/>
              <w:right w:val="single" w:sz="4" w:space="0" w:color="auto"/>
            </w:tcBorders>
            <w:vAlign w:val="center"/>
          </w:tcPr>
          <w:p w14:paraId="34F3C189"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53.00%</w:t>
            </w:r>
          </w:p>
        </w:tc>
      </w:tr>
      <w:tr w:rsidR="00ED172B" w:rsidRPr="00ED172B" w14:paraId="4F798154" w14:textId="77777777" w:rsidTr="00A40EE1">
        <w:trPr>
          <w:trHeight w:val="85"/>
        </w:trPr>
        <w:tc>
          <w:tcPr>
            <w:tcW w:w="500" w:type="pct"/>
            <w:tcBorders>
              <w:left w:val="single" w:sz="4" w:space="0" w:color="auto"/>
              <w:right w:val="single" w:sz="4" w:space="0" w:color="auto"/>
            </w:tcBorders>
            <w:vAlign w:val="center"/>
          </w:tcPr>
          <w:p w14:paraId="6F315EE1" w14:textId="77777777" w:rsidR="007F3393"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500" w:type="pct"/>
            <w:tcBorders>
              <w:left w:val="single" w:sz="4" w:space="0" w:color="auto"/>
              <w:right w:val="single" w:sz="4" w:space="0" w:color="auto"/>
            </w:tcBorders>
          </w:tcPr>
          <w:p w14:paraId="5411DDF1" w14:textId="77777777" w:rsidR="007F3393" w:rsidRPr="00ED172B" w:rsidRDefault="005C14C2" w:rsidP="005C14C2">
            <w:pPr>
              <w:jc w:val="center"/>
              <w:rPr>
                <w:color w:val="000000" w:themeColor="text1"/>
              </w:rPr>
            </w:pPr>
            <w:r w:rsidRPr="00ED172B">
              <w:rPr>
                <w:color w:val="000000" w:themeColor="text1"/>
              </w:rPr>
              <w:t>58.35%</w:t>
            </w:r>
          </w:p>
        </w:tc>
        <w:tc>
          <w:tcPr>
            <w:tcW w:w="500" w:type="pct"/>
            <w:tcBorders>
              <w:top w:val="single" w:sz="4" w:space="0" w:color="auto"/>
              <w:left w:val="single" w:sz="4" w:space="0" w:color="auto"/>
              <w:bottom w:val="single" w:sz="4" w:space="0" w:color="auto"/>
              <w:right w:val="single" w:sz="4" w:space="0" w:color="auto"/>
            </w:tcBorders>
          </w:tcPr>
          <w:p w14:paraId="4C7C384C" w14:textId="77777777" w:rsidR="007F3393" w:rsidRPr="00ED172B" w:rsidRDefault="007F3393" w:rsidP="00D21F29">
            <w:pPr>
              <w:jc w:val="center"/>
              <w:rPr>
                <w:rFonts w:cs="Arial"/>
                <w:color w:val="000000" w:themeColor="text1"/>
                <w:szCs w:val="16"/>
              </w:rPr>
            </w:pPr>
            <w:r w:rsidRPr="00ED172B">
              <w:rPr>
                <w:rFonts w:cs="Arial"/>
                <w:color w:val="000000" w:themeColor="text1"/>
                <w:szCs w:val="16"/>
              </w:rPr>
              <w:t>Data</w:t>
            </w:r>
          </w:p>
        </w:tc>
        <w:tc>
          <w:tcPr>
            <w:tcW w:w="700" w:type="pct"/>
            <w:tcBorders>
              <w:top w:val="single" w:sz="4" w:space="0" w:color="auto"/>
              <w:left w:val="single" w:sz="4" w:space="0" w:color="auto"/>
              <w:bottom w:val="single" w:sz="4" w:space="0" w:color="auto"/>
              <w:right w:val="single" w:sz="4" w:space="0" w:color="auto"/>
            </w:tcBorders>
            <w:vAlign w:val="center"/>
          </w:tcPr>
          <w:p w14:paraId="54889BF7"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55.78%</w:t>
            </w:r>
          </w:p>
        </w:tc>
        <w:tc>
          <w:tcPr>
            <w:tcW w:w="700" w:type="pct"/>
            <w:tcBorders>
              <w:top w:val="single" w:sz="4" w:space="0" w:color="auto"/>
              <w:left w:val="single" w:sz="4" w:space="0" w:color="auto"/>
              <w:bottom w:val="single" w:sz="4" w:space="0" w:color="auto"/>
              <w:right w:val="single" w:sz="4" w:space="0" w:color="auto"/>
            </w:tcBorders>
            <w:vAlign w:val="center"/>
          </w:tcPr>
          <w:p w14:paraId="17D44333"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57.27%</w:t>
            </w:r>
          </w:p>
        </w:tc>
        <w:tc>
          <w:tcPr>
            <w:tcW w:w="700" w:type="pct"/>
            <w:tcBorders>
              <w:top w:val="single" w:sz="4" w:space="0" w:color="auto"/>
              <w:left w:val="single" w:sz="4" w:space="0" w:color="auto"/>
              <w:bottom w:val="single" w:sz="4" w:space="0" w:color="auto"/>
              <w:right w:val="single" w:sz="4" w:space="0" w:color="auto"/>
            </w:tcBorders>
            <w:vAlign w:val="center"/>
          </w:tcPr>
          <w:p w14:paraId="4522C7A8"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59.61%</w:t>
            </w:r>
          </w:p>
        </w:tc>
        <w:tc>
          <w:tcPr>
            <w:tcW w:w="700" w:type="pct"/>
            <w:tcBorders>
              <w:top w:val="single" w:sz="4" w:space="0" w:color="auto"/>
              <w:left w:val="single" w:sz="4" w:space="0" w:color="auto"/>
              <w:bottom w:val="single" w:sz="4" w:space="0" w:color="auto"/>
              <w:right w:val="single" w:sz="4" w:space="0" w:color="auto"/>
            </w:tcBorders>
            <w:vAlign w:val="center"/>
          </w:tcPr>
          <w:p w14:paraId="6252407C"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58.35%</w:t>
            </w:r>
          </w:p>
        </w:tc>
        <w:tc>
          <w:tcPr>
            <w:tcW w:w="700" w:type="pct"/>
            <w:tcBorders>
              <w:top w:val="single" w:sz="4" w:space="0" w:color="auto"/>
              <w:left w:val="single" w:sz="4" w:space="0" w:color="auto"/>
              <w:bottom w:val="single" w:sz="4" w:space="0" w:color="auto"/>
              <w:right w:val="single" w:sz="4" w:space="0" w:color="auto"/>
            </w:tcBorders>
            <w:vAlign w:val="center"/>
          </w:tcPr>
          <w:p w14:paraId="0880C7B1" w14:textId="77777777" w:rsidR="007F3393" w:rsidRPr="00ED172B" w:rsidRDefault="00860830" w:rsidP="00186420">
            <w:pPr>
              <w:jc w:val="center"/>
              <w:rPr>
                <w:rFonts w:cs="Arial"/>
                <w:color w:val="000000" w:themeColor="text1"/>
                <w:szCs w:val="16"/>
              </w:rPr>
            </w:pPr>
            <w:r w:rsidRPr="00ED172B">
              <w:rPr>
                <w:rFonts w:cs="Arial"/>
                <w:color w:val="000000" w:themeColor="text1"/>
                <w:szCs w:val="16"/>
              </w:rPr>
              <w:t>66.90%</w:t>
            </w:r>
          </w:p>
        </w:tc>
      </w:tr>
    </w:tbl>
    <w:p w14:paraId="03635DEB" w14:textId="77777777" w:rsidR="005F4279" w:rsidRPr="00ED172B" w:rsidRDefault="005F4279">
      <w:pPr>
        <w:rPr>
          <w:b/>
          <w:color w:val="000000" w:themeColor="text1"/>
        </w:rPr>
      </w:pPr>
      <w:r w:rsidRPr="00ED172B">
        <w:rPr>
          <w:b/>
          <w:color w:val="000000" w:themeColor="text1"/>
        </w:rPr>
        <w:t>Targets</w:t>
      </w:r>
    </w:p>
    <w:tbl>
      <w:tblPr>
        <w:tblW w:w="1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1"/>
      </w:tblPr>
      <w:tblGrid>
        <w:gridCol w:w="754"/>
        <w:gridCol w:w="1674"/>
        <w:gridCol w:w="1674"/>
      </w:tblGrid>
      <w:tr w:rsidR="00CF59E2" w:rsidRPr="00ED172B" w14:paraId="723FFF9C" w14:textId="77777777" w:rsidTr="00811738">
        <w:trPr>
          <w:trHeight w:val="350"/>
        </w:trPr>
        <w:tc>
          <w:tcPr>
            <w:tcW w:w="919" w:type="pct"/>
            <w:tcBorders>
              <w:bottom w:val="single" w:sz="4" w:space="0" w:color="auto"/>
            </w:tcBorders>
            <w:vAlign w:val="center"/>
          </w:tcPr>
          <w:p w14:paraId="1616B127" w14:textId="77777777" w:rsidR="00CF59E2" w:rsidRPr="00ED172B" w:rsidRDefault="00CF59E2" w:rsidP="0012497F">
            <w:pPr>
              <w:jc w:val="center"/>
              <w:rPr>
                <w:b/>
                <w:color w:val="000000" w:themeColor="text1"/>
              </w:rPr>
            </w:pPr>
            <w:r w:rsidRPr="00ED172B">
              <w:rPr>
                <w:b/>
                <w:color w:val="000000" w:themeColor="text1"/>
              </w:rPr>
              <w:t>FFY</w:t>
            </w:r>
          </w:p>
        </w:tc>
        <w:tc>
          <w:tcPr>
            <w:tcW w:w="2040" w:type="pct"/>
            <w:vAlign w:val="center"/>
          </w:tcPr>
          <w:p w14:paraId="7F96E228" w14:textId="77777777" w:rsidR="00CF59E2" w:rsidRPr="00ED172B" w:rsidRDefault="00CF59E2" w:rsidP="0012497F">
            <w:pPr>
              <w:jc w:val="center"/>
              <w:rPr>
                <w:b/>
                <w:color w:val="000000" w:themeColor="text1"/>
              </w:rPr>
            </w:pPr>
            <w:r w:rsidRPr="00ED172B">
              <w:rPr>
                <w:b/>
                <w:color w:val="000000" w:themeColor="text1"/>
              </w:rPr>
              <w:t>2024</w:t>
            </w:r>
          </w:p>
        </w:tc>
        <w:tc>
          <w:tcPr>
            <w:tcW w:w="2041" w:type="pct"/>
          </w:tcPr>
          <w:p w14:paraId="5A6F1330" w14:textId="77777777" w:rsidR="00CF59E2" w:rsidRPr="00ED172B" w:rsidRDefault="00CF59E2" w:rsidP="0012497F">
            <w:pPr>
              <w:jc w:val="center"/>
              <w:rPr>
                <w:b/>
                <w:color w:val="000000" w:themeColor="text1"/>
              </w:rPr>
            </w:pPr>
            <w:r>
              <w:rPr>
                <w:rFonts w:cs="Arial"/>
                <w:b/>
                <w:color w:val="000000" w:themeColor="text1"/>
                <w:szCs w:val="16"/>
              </w:rPr>
              <w:t>2025</w:t>
            </w:r>
          </w:p>
        </w:tc>
      </w:tr>
      <w:tr w:rsidR="00CF59E2" w:rsidRPr="00ED172B" w14:paraId="51396B58" w14:textId="77777777" w:rsidTr="00811738">
        <w:trPr>
          <w:trHeight w:val="357"/>
        </w:trPr>
        <w:tc>
          <w:tcPr>
            <w:tcW w:w="919" w:type="pct"/>
            <w:vAlign w:val="center"/>
          </w:tcPr>
          <w:p w14:paraId="1C3E0873" w14:textId="77777777" w:rsidR="00CF59E2" w:rsidRPr="00ED172B" w:rsidRDefault="00CF59E2" w:rsidP="00D21F29">
            <w:pPr>
              <w:jc w:val="center"/>
              <w:rPr>
                <w:color w:val="000000" w:themeColor="text1"/>
                <w:szCs w:val="16"/>
              </w:rPr>
            </w:pPr>
            <w:r w:rsidRPr="00ED172B">
              <w:rPr>
                <w:color w:val="000000" w:themeColor="text1"/>
                <w:szCs w:val="16"/>
              </w:rPr>
              <w:t>Target A1&gt;=</w:t>
            </w:r>
          </w:p>
        </w:tc>
        <w:tc>
          <w:tcPr>
            <w:tcW w:w="2040" w:type="pct"/>
            <w:vAlign w:val="center"/>
          </w:tcPr>
          <w:p w14:paraId="12D6D229" w14:textId="77777777" w:rsidR="00CF59E2" w:rsidRPr="00ED172B" w:rsidRDefault="00CF59E2" w:rsidP="002242B8">
            <w:pPr>
              <w:jc w:val="center"/>
              <w:rPr>
                <w:color w:val="000000" w:themeColor="text1"/>
              </w:rPr>
            </w:pPr>
            <w:r w:rsidRPr="00ED172B">
              <w:rPr>
                <w:color w:val="000000" w:themeColor="text1"/>
              </w:rPr>
              <w:t>59.00%</w:t>
            </w:r>
          </w:p>
        </w:tc>
        <w:tc>
          <w:tcPr>
            <w:tcW w:w="2041" w:type="pct"/>
          </w:tcPr>
          <w:p w14:paraId="56493314" w14:textId="77777777" w:rsidR="00CF59E2" w:rsidRPr="00ED172B" w:rsidRDefault="00CF59E2" w:rsidP="002242B8">
            <w:pPr>
              <w:jc w:val="center"/>
              <w:rPr>
                <w:color w:val="000000" w:themeColor="text1"/>
              </w:rPr>
            </w:pPr>
            <w:r>
              <w:rPr>
                <w:color w:val="000000" w:themeColor="text1"/>
              </w:rPr>
              <w:t>59.00%</w:t>
            </w:r>
          </w:p>
        </w:tc>
      </w:tr>
      <w:tr w:rsidR="00CF59E2" w:rsidRPr="00ED172B" w14:paraId="00F4D318" w14:textId="77777777" w:rsidTr="00811738">
        <w:trPr>
          <w:trHeight w:val="357"/>
        </w:trPr>
        <w:tc>
          <w:tcPr>
            <w:tcW w:w="919" w:type="pct"/>
            <w:vAlign w:val="center"/>
          </w:tcPr>
          <w:p w14:paraId="22D7EA15" w14:textId="77777777" w:rsidR="00CF59E2" w:rsidRPr="00ED172B" w:rsidRDefault="00CF59E2" w:rsidP="00D21F29">
            <w:pPr>
              <w:jc w:val="center"/>
              <w:rPr>
                <w:color w:val="000000" w:themeColor="text1"/>
                <w:szCs w:val="16"/>
              </w:rPr>
            </w:pPr>
            <w:r w:rsidRPr="00ED172B">
              <w:rPr>
                <w:color w:val="000000" w:themeColor="text1"/>
                <w:szCs w:val="16"/>
              </w:rPr>
              <w:t>Target A2&gt;=</w:t>
            </w:r>
          </w:p>
        </w:tc>
        <w:tc>
          <w:tcPr>
            <w:tcW w:w="2040" w:type="pct"/>
            <w:vAlign w:val="center"/>
          </w:tcPr>
          <w:p w14:paraId="503BFCAC" w14:textId="77777777" w:rsidR="00CF59E2" w:rsidRPr="00ED172B" w:rsidRDefault="00CF59E2" w:rsidP="002242B8">
            <w:pPr>
              <w:jc w:val="center"/>
              <w:rPr>
                <w:color w:val="000000" w:themeColor="text1"/>
              </w:rPr>
            </w:pPr>
            <w:r w:rsidRPr="00ED172B">
              <w:rPr>
                <w:color w:val="000000" w:themeColor="text1"/>
              </w:rPr>
              <w:t>52.00%</w:t>
            </w:r>
          </w:p>
        </w:tc>
        <w:tc>
          <w:tcPr>
            <w:tcW w:w="2041" w:type="pct"/>
          </w:tcPr>
          <w:p w14:paraId="2859328B" w14:textId="77777777" w:rsidR="00CF59E2" w:rsidRPr="00ED172B" w:rsidRDefault="00CF59E2" w:rsidP="002242B8">
            <w:pPr>
              <w:jc w:val="center"/>
              <w:rPr>
                <w:color w:val="000000" w:themeColor="text1"/>
              </w:rPr>
            </w:pPr>
            <w:r>
              <w:rPr>
                <w:color w:val="000000" w:themeColor="text1"/>
              </w:rPr>
              <w:t>52.00%</w:t>
            </w:r>
          </w:p>
        </w:tc>
      </w:tr>
      <w:tr w:rsidR="00CF59E2" w:rsidRPr="00ED172B" w14:paraId="62C06F4A" w14:textId="77777777" w:rsidTr="00811738">
        <w:trPr>
          <w:trHeight w:val="357"/>
        </w:trPr>
        <w:tc>
          <w:tcPr>
            <w:tcW w:w="919" w:type="pct"/>
            <w:vAlign w:val="center"/>
          </w:tcPr>
          <w:p w14:paraId="4B52F5F7" w14:textId="77777777" w:rsidR="00CF59E2" w:rsidRPr="00ED172B" w:rsidRDefault="00CF59E2" w:rsidP="00D21F29">
            <w:pPr>
              <w:jc w:val="center"/>
              <w:rPr>
                <w:color w:val="000000" w:themeColor="text1"/>
                <w:szCs w:val="16"/>
              </w:rPr>
            </w:pPr>
            <w:r w:rsidRPr="00ED172B">
              <w:rPr>
                <w:color w:val="000000" w:themeColor="text1"/>
                <w:szCs w:val="16"/>
              </w:rPr>
              <w:t>Target B1&gt;=</w:t>
            </w:r>
          </w:p>
        </w:tc>
        <w:tc>
          <w:tcPr>
            <w:tcW w:w="2040" w:type="pct"/>
            <w:vAlign w:val="center"/>
          </w:tcPr>
          <w:p w14:paraId="48B2F20D" w14:textId="77777777" w:rsidR="00CF59E2" w:rsidRPr="00ED172B" w:rsidRDefault="00CF59E2" w:rsidP="002242B8">
            <w:pPr>
              <w:jc w:val="center"/>
              <w:rPr>
                <w:color w:val="000000" w:themeColor="text1"/>
              </w:rPr>
            </w:pPr>
            <w:r w:rsidRPr="00ED172B">
              <w:rPr>
                <w:color w:val="000000" w:themeColor="text1"/>
              </w:rPr>
              <w:t>58.00%</w:t>
            </w:r>
          </w:p>
        </w:tc>
        <w:tc>
          <w:tcPr>
            <w:tcW w:w="2041" w:type="pct"/>
          </w:tcPr>
          <w:p w14:paraId="13FCC28E" w14:textId="77777777" w:rsidR="00CF59E2" w:rsidRPr="00ED172B" w:rsidRDefault="00CF59E2" w:rsidP="002242B8">
            <w:pPr>
              <w:jc w:val="center"/>
              <w:rPr>
                <w:color w:val="000000" w:themeColor="text1"/>
              </w:rPr>
            </w:pPr>
            <w:r>
              <w:rPr>
                <w:color w:val="000000" w:themeColor="text1"/>
              </w:rPr>
              <w:t>58.00%</w:t>
            </w:r>
          </w:p>
        </w:tc>
      </w:tr>
      <w:tr w:rsidR="00CF59E2" w:rsidRPr="00ED172B" w14:paraId="5A2C896C" w14:textId="77777777" w:rsidTr="00811738">
        <w:trPr>
          <w:trHeight w:val="357"/>
        </w:trPr>
        <w:tc>
          <w:tcPr>
            <w:tcW w:w="919" w:type="pct"/>
            <w:vAlign w:val="center"/>
          </w:tcPr>
          <w:p w14:paraId="0B7A6272" w14:textId="77777777" w:rsidR="00CF59E2" w:rsidRPr="00ED172B" w:rsidRDefault="00CF59E2" w:rsidP="00D21F29">
            <w:pPr>
              <w:jc w:val="center"/>
              <w:rPr>
                <w:color w:val="000000" w:themeColor="text1"/>
                <w:szCs w:val="16"/>
              </w:rPr>
            </w:pPr>
            <w:r w:rsidRPr="00ED172B">
              <w:rPr>
                <w:color w:val="000000" w:themeColor="text1"/>
                <w:szCs w:val="16"/>
              </w:rPr>
              <w:t>Target B2&gt;=</w:t>
            </w:r>
          </w:p>
        </w:tc>
        <w:tc>
          <w:tcPr>
            <w:tcW w:w="2040" w:type="pct"/>
            <w:vAlign w:val="center"/>
          </w:tcPr>
          <w:p w14:paraId="711F6CDA" w14:textId="77777777" w:rsidR="00CF59E2" w:rsidRPr="00ED172B" w:rsidRDefault="00CF59E2" w:rsidP="002242B8">
            <w:pPr>
              <w:jc w:val="center"/>
              <w:rPr>
                <w:color w:val="000000" w:themeColor="text1"/>
              </w:rPr>
            </w:pPr>
            <w:r w:rsidRPr="00ED172B">
              <w:rPr>
                <w:color w:val="000000" w:themeColor="text1"/>
              </w:rPr>
              <w:t>34.00%</w:t>
            </w:r>
          </w:p>
        </w:tc>
        <w:tc>
          <w:tcPr>
            <w:tcW w:w="2041" w:type="pct"/>
          </w:tcPr>
          <w:p w14:paraId="5D9FE54C" w14:textId="77777777" w:rsidR="00CF59E2" w:rsidRPr="00ED172B" w:rsidRDefault="00CF59E2" w:rsidP="002242B8">
            <w:pPr>
              <w:jc w:val="center"/>
              <w:rPr>
                <w:color w:val="000000" w:themeColor="text1"/>
              </w:rPr>
            </w:pPr>
            <w:r>
              <w:rPr>
                <w:color w:val="000000" w:themeColor="text1"/>
              </w:rPr>
              <w:t>34.00%</w:t>
            </w:r>
          </w:p>
        </w:tc>
      </w:tr>
      <w:tr w:rsidR="00CF59E2" w:rsidRPr="00ED172B" w14:paraId="411C7C4B" w14:textId="77777777" w:rsidTr="00811738">
        <w:trPr>
          <w:trHeight w:val="357"/>
        </w:trPr>
        <w:tc>
          <w:tcPr>
            <w:tcW w:w="919" w:type="pct"/>
            <w:vAlign w:val="center"/>
          </w:tcPr>
          <w:p w14:paraId="79A0D4E4" w14:textId="77777777" w:rsidR="00CF59E2" w:rsidRPr="00ED172B" w:rsidRDefault="00CF59E2" w:rsidP="00D21F29">
            <w:pPr>
              <w:jc w:val="center"/>
              <w:rPr>
                <w:color w:val="000000" w:themeColor="text1"/>
                <w:szCs w:val="16"/>
              </w:rPr>
            </w:pPr>
            <w:r w:rsidRPr="00ED172B">
              <w:rPr>
                <w:color w:val="000000" w:themeColor="text1"/>
                <w:szCs w:val="16"/>
              </w:rPr>
              <w:t>Target C1&gt;=</w:t>
            </w:r>
          </w:p>
        </w:tc>
        <w:tc>
          <w:tcPr>
            <w:tcW w:w="2040" w:type="pct"/>
            <w:vAlign w:val="center"/>
          </w:tcPr>
          <w:p w14:paraId="2A1414CF" w14:textId="77777777" w:rsidR="00CF59E2" w:rsidRPr="00ED172B" w:rsidRDefault="00CF59E2" w:rsidP="0012497F">
            <w:pPr>
              <w:jc w:val="center"/>
              <w:rPr>
                <w:color w:val="000000" w:themeColor="text1"/>
              </w:rPr>
            </w:pPr>
            <w:r w:rsidRPr="00ED172B">
              <w:rPr>
                <w:color w:val="000000" w:themeColor="text1"/>
              </w:rPr>
              <w:t>67.50%</w:t>
            </w:r>
          </w:p>
        </w:tc>
        <w:tc>
          <w:tcPr>
            <w:tcW w:w="2041" w:type="pct"/>
          </w:tcPr>
          <w:p w14:paraId="5F6F04EA" w14:textId="77777777" w:rsidR="00CF59E2" w:rsidRPr="00ED172B" w:rsidRDefault="00CF59E2" w:rsidP="0012497F">
            <w:pPr>
              <w:jc w:val="center"/>
              <w:rPr>
                <w:color w:val="000000" w:themeColor="text1"/>
              </w:rPr>
            </w:pPr>
            <w:r>
              <w:rPr>
                <w:color w:val="000000" w:themeColor="text1"/>
              </w:rPr>
              <w:t>67.50%</w:t>
            </w:r>
          </w:p>
        </w:tc>
      </w:tr>
      <w:tr w:rsidR="00CF59E2" w:rsidRPr="00ED172B" w14:paraId="7F376C9C" w14:textId="77777777" w:rsidTr="00811738">
        <w:trPr>
          <w:trHeight w:val="357"/>
        </w:trPr>
        <w:tc>
          <w:tcPr>
            <w:tcW w:w="919" w:type="pct"/>
            <w:vAlign w:val="center"/>
          </w:tcPr>
          <w:p w14:paraId="7CD929AD" w14:textId="77777777" w:rsidR="00CF59E2" w:rsidRPr="00ED172B" w:rsidRDefault="00CF59E2" w:rsidP="00D21F29">
            <w:pPr>
              <w:jc w:val="center"/>
              <w:rPr>
                <w:color w:val="000000" w:themeColor="text1"/>
                <w:szCs w:val="16"/>
              </w:rPr>
            </w:pPr>
            <w:r w:rsidRPr="00ED172B">
              <w:rPr>
                <w:color w:val="000000" w:themeColor="text1"/>
                <w:szCs w:val="16"/>
              </w:rPr>
              <w:t>Target C2&gt;=</w:t>
            </w:r>
          </w:p>
        </w:tc>
        <w:tc>
          <w:tcPr>
            <w:tcW w:w="2040" w:type="pct"/>
            <w:vAlign w:val="center"/>
          </w:tcPr>
          <w:p w14:paraId="3220C949" w14:textId="77777777" w:rsidR="00CF59E2" w:rsidRPr="00ED172B" w:rsidRDefault="00CF59E2" w:rsidP="0012497F">
            <w:pPr>
              <w:jc w:val="center"/>
              <w:rPr>
                <w:color w:val="000000" w:themeColor="text1"/>
              </w:rPr>
            </w:pPr>
            <w:r w:rsidRPr="00ED172B">
              <w:rPr>
                <w:color w:val="000000" w:themeColor="text1"/>
              </w:rPr>
              <w:t>53.00%</w:t>
            </w:r>
          </w:p>
        </w:tc>
        <w:tc>
          <w:tcPr>
            <w:tcW w:w="2041" w:type="pct"/>
          </w:tcPr>
          <w:p w14:paraId="2ED6BDAD" w14:textId="77777777" w:rsidR="00CF59E2" w:rsidRPr="00ED172B" w:rsidRDefault="00CF59E2" w:rsidP="0012497F">
            <w:pPr>
              <w:jc w:val="center"/>
              <w:rPr>
                <w:color w:val="000000" w:themeColor="text1"/>
              </w:rPr>
            </w:pPr>
            <w:r>
              <w:rPr>
                <w:color w:val="000000" w:themeColor="text1"/>
              </w:rPr>
              <w:t>53.00%</w:t>
            </w:r>
          </w:p>
        </w:tc>
      </w:tr>
    </w:tbl>
    <w:p w14:paraId="0C4EA9EA" w14:textId="77777777" w:rsidR="00CF59E2" w:rsidRDefault="00CF59E2">
      <w:pPr>
        <w:rPr>
          <w:b/>
          <w:color w:val="000000" w:themeColor="text1"/>
        </w:rPr>
      </w:pPr>
    </w:p>
    <w:p w14:paraId="40D9389F" w14:textId="77777777" w:rsidR="00CF59E2" w:rsidRDefault="00CF59E2">
      <w:pPr>
        <w:rPr>
          <w:b/>
          <w:color w:val="000000" w:themeColor="text1"/>
        </w:rPr>
      </w:pPr>
    </w:p>
    <w:p w14:paraId="685DF198" w14:textId="77777777" w:rsidR="001A4B29" w:rsidRPr="00ED172B" w:rsidRDefault="00F32724">
      <w:pPr>
        <w:rPr>
          <w:b/>
          <w:color w:val="000000" w:themeColor="text1"/>
        </w:rPr>
      </w:pPr>
      <w:r w:rsidRPr="00ED172B" w:rsidDel="00F32724">
        <w:rPr>
          <w:b/>
          <w:color w:val="000000" w:themeColor="text1"/>
        </w:rPr>
        <w:t xml:space="preserve"> 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1"/>
      </w:tblPr>
      <w:tblGrid>
        <w:gridCol w:w="7350"/>
        <w:gridCol w:w="1720"/>
        <w:gridCol w:w="1720"/>
      </w:tblGrid>
      <w:tr w:rsidR="00ED172B" w:rsidRPr="00ED172B" w14:paraId="2FDCF7A5" w14:textId="77777777" w:rsidTr="00986B99">
        <w:trPr>
          <w:trHeight w:val="287"/>
          <w:tblHeader/>
        </w:trPr>
        <w:tc>
          <w:tcPr>
            <w:tcW w:w="3406" w:type="pct"/>
            <w:vAlign w:val="center"/>
          </w:tcPr>
          <w:p w14:paraId="770A3925" w14:textId="77777777" w:rsidR="001A4B29" w:rsidRPr="00ED172B" w:rsidRDefault="008320B5" w:rsidP="00B83404">
            <w:pPr>
              <w:rPr>
                <w:color w:val="000000" w:themeColor="text1"/>
              </w:rPr>
            </w:pPr>
            <w:r>
              <w:rPr>
                <w:rFonts w:cs="Arial"/>
                <w:b/>
                <w:color w:val="000000" w:themeColor="text1"/>
                <w:szCs w:val="16"/>
              </w:rPr>
              <w:t xml:space="preserve">Outcome A </w:t>
            </w:r>
            <w:r w:rsidRPr="001071FD">
              <w:rPr>
                <w:rFonts w:cs="Arial"/>
                <w:b/>
                <w:bCs/>
                <w:color w:val="000000" w:themeColor="text1"/>
                <w:szCs w:val="16"/>
              </w:rPr>
              <w:t xml:space="preserve">Progress </w:t>
            </w:r>
            <w:r>
              <w:rPr>
                <w:rFonts w:cs="Arial"/>
                <w:b/>
                <w:bCs/>
                <w:color w:val="000000" w:themeColor="text1"/>
                <w:szCs w:val="16"/>
              </w:rPr>
              <w:t>C</w:t>
            </w:r>
            <w:r w:rsidRPr="001071FD">
              <w:rPr>
                <w:rFonts w:cs="Arial"/>
                <w:b/>
                <w:bCs/>
                <w:color w:val="000000" w:themeColor="text1"/>
                <w:szCs w:val="16"/>
              </w:rPr>
              <w:t>ategor</w:t>
            </w:r>
            <w:r>
              <w:rPr>
                <w:rFonts w:cs="Arial"/>
                <w:b/>
                <w:bCs/>
                <w:color w:val="000000" w:themeColor="text1"/>
                <w:szCs w:val="16"/>
              </w:rPr>
              <w:t>y</w:t>
            </w:r>
          </w:p>
        </w:tc>
        <w:tc>
          <w:tcPr>
            <w:tcW w:w="797" w:type="pct"/>
            <w:vAlign w:val="center"/>
          </w:tcPr>
          <w:p w14:paraId="5E3F33FB"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Number of children</w:t>
            </w:r>
          </w:p>
        </w:tc>
        <w:tc>
          <w:tcPr>
            <w:tcW w:w="797" w:type="pct"/>
          </w:tcPr>
          <w:p w14:paraId="39BA019F" w14:textId="77777777" w:rsidR="001A4B29" w:rsidRPr="00ED172B" w:rsidRDefault="001A4B29" w:rsidP="00186420">
            <w:pPr>
              <w:keepNext/>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26591412" w14:textId="77777777" w:rsidTr="00986B99">
        <w:trPr>
          <w:trHeight w:val="361"/>
        </w:trPr>
        <w:tc>
          <w:tcPr>
            <w:tcW w:w="3406" w:type="pct"/>
            <w:vAlign w:val="center"/>
          </w:tcPr>
          <w:p w14:paraId="4B154856" w14:textId="77777777" w:rsidR="001A4B29" w:rsidRPr="00ED172B" w:rsidRDefault="001A4B29" w:rsidP="001A4B29">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vAlign w:val="center"/>
          </w:tcPr>
          <w:p w14:paraId="0A84EB74" w14:textId="77777777" w:rsidR="001A4B29" w:rsidRPr="00ED172B" w:rsidRDefault="00860830" w:rsidP="00186420">
            <w:pPr>
              <w:jc w:val="center"/>
              <w:rPr>
                <w:rFonts w:cs="Arial"/>
                <w:color w:val="000000" w:themeColor="text1"/>
                <w:szCs w:val="16"/>
              </w:rPr>
            </w:pPr>
            <w:r w:rsidRPr="00ED172B">
              <w:rPr>
                <w:rFonts w:cs="Arial"/>
                <w:color w:val="000000" w:themeColor="text1"/>
                <w:szCs w:val="16"/>
              </w:rPr>
              <w:t>368</w:t>
            </w:r>
          </w:p>
        </w:tc>
        <w:tc>
          <w:tcPr>
            <w:tcW w:w="797" w:type="pct"/>
            <w:vAlign w:val="center"/>
          </w:tcPr>
          <w:p w14:paraId="28497D4F" w14:textId="77777777" w:rsidR="001A4B29" w:rsidRPr="00ED172B" w:rsidRDefault="00860830" w:rsidP="00186420">
            <w:pPr>
              <w:jc w:val="center"/>
              <w:rPr>
                <w:rFonts w:cs="Arial"/>
                <w:color w:val="000000" w:themeColor="text1"/>
                <w:szCs w:val="16"/>
              </w:rPr>
            </w:pPr>
            <w:r w:rsidRPr="00ED172B">
              <w:rPr>
                <w:rFonts w:cs="Arial"/>
                <w:color w:val="000000" w:themeColor="text1"/>
                <w:szCs w:val="16"/>
              </w:rPr>
              <w:t>5.14%</w:t>
            </w:r>
          </w:p>
        </w:tc>
      </w:tr>
      <w:tr w:rsidR="00ED172B" w:rsidRPr="00ED172B" w14:paraId="4ABB446D" w14:textId="77777777" w:rsidTr="00986B99">
        <w:trPr>
          <w:trHeight w:val="361"/>
        </w:trPr>
        <w:tc>
          <w:tcPr>
            <w:tcW w:w="3406" w:type="pct"/>
            <w:vAlign w:val="center"/>
          </w:tcPr>
          <w:p w14:paraId="4263BE3F" w14:textId="77777777" w:rsidR="00E447C5" w:rsidRPr="00ED172B" w:rsidRDefault="00E447C5" w:rsidP="00E447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vAlign w:val="center"/>
          </w:tcPr>
          <w:p w14:paraId="07864A36"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1,206</w:t>
            </w:r>
          </w:p>
        </w:tc>
        <w:tc>
          <w:tcPr>
            <w:tcW w:w="797" w:type="pct"/>
            <w:vAlign w:val="center"/>
          </w:tcPr>
          <w:p w14:paraId="45D9AC7E"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16.86%</w:t>
            </w:r>
          </w:p>
        </w:tc>
      </w:tr>
      <w:tr w:rsidR="00ED172B" w:rsidRPr="00ED172B" w14:paraId="5E1CBD0C" w14:textId="77777777" w:rsidTr="00986B99">
        <w:trPr>
          <w:trHeight w:val="361"/>
        </w:trPr>
        <w:tc>
          <w:tcPr>
            <w:tcW w:w="3406" w:type="pct"/>
            <w:vAlign w:val="center"/>
          </w:tcPr>
          <w:p w14:paraId="0D3CDD98" w14:textId="77777777" w:rsidR="00E447C5" w:rsidRPr="00ED172B" w:rsidRDefault="00E447C5" w:rsidP="00E447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vAlign w:val="center"/>
          </w:tcPr>
          <w:p w14:paraId="730DDB72"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393</w:t>
            </w:r>
          </w:p>
        </w:tc>
        <w:tc>
          <w:tcPr>
            <w:tcW w:w="797" w:type="pct"/>
            <w:vAlign w:val="center"/>
          </w:tcPr>
          <w:p w14:paraId="75A88C56"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5.49%</w:t>
            </w:r>
          </w:p>
        </w:tc>
      </w:tr>
      <w:tr w:rsidR="00ED172B" w:rsidRPr="00ED172B" w14:paraId="0D44DD2B" w14:textId="77777777" w:rsidTr="00986B99">
        <w:trPr>
          <w:trHeight w:val="361"/>
        </w:trPr>
        <w:tc>
          <w:tcPr>
            <w:tcW w:w="3406" w:type="pct"/>
            <w:vAlign w:val="center"/>
          </w:tcPr>
          <w:p w14:paraId="0F8D4E4D" w14:textId="77777777" w:rsidR="00E447C5" w:rsidRPr="00ED172B" w:rsidRDefault="00E447C5" w:rsidP="00E447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vAlign w:val="center"/>
          </w:tcPr>
          <w:p w14:paraId="3B01AAC0"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1,935</w:t>
            </w:r>
          </w:p>
        </w:tc>
        <w:tc>
          <w:tcPr>
            <w:tcW w:w="797" w:type="pct"/>
            <w:vAlign w:val="center"/>
          </w:tcPr>
          <w:p w14:paraId="4A006C3B"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27.04%</w:t>
            </w:r>
          </w:p>
        </w:tc>
      </w:tr>
      <w:tr w:rsidR="00ED172B" w:rsidRPr="00ED172B" w14:paraId="7BBC4E95" w14:textId="77777777" w:rsidTr="00986B99">
        <w:trPr>
          <w:trHeight w:val="361"/>
        </w:trPr>
        <w:tc>
          <w:tcPr>
            <w:tcW w:w="3406" w:type="pct"/>
            <w:vAlign w:val="center"/>
          </w:tcPr>
          <w:p w14:paraId="25E563E9" w14:textId="77777777" w:rsidR="00E447C5" w:rsidRPr="00ED172B" w:rsidRDefault="00E447C5" w:rsidP="00E447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vAlign w:val="center"/>
          </w:tcPr>
          <w:p w14:paraId="6C369857"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3,253</w:t>
            </w:r>
          </w:p>
        </w:tc>
        <w:tc>
          <w:tcPr>
            <w:tcW w:w="797" w:type="pct"/>
            <w:vAlign w:val="center"/>
          </w:tcPr>
          <w:p w14:paraId="057F3260" w14:textId="77777777" w:rsidR="00E447C5" w:rsidRPr="00ED172B" w:rsidRDefault="00860830" w:rsidP="00186420">
            <w:pPr>
              <w:jc w:val="center"/>
              <w:rPr>
                <w:rFonts w:cs="Arial"/>
                <w:color w:val="000000" w:themeColor="text1"/>
                <w:szCs w:val="16"/>
              </w:rPr>
            </w:pPr>
            <w:r w:rsidRPr="00ED172B">
              <w:rPr>
                <w:rFonts w:cs="Arial"/>
                <w:color w:val="000000" w:themeColor="text1"/>
                <w:szCs w:val="16"/>
              </w:rPr>
              <w:t>45.46%</w:t>
            </w:r>
          </w:p>
        </w:tc>
      </w:tr>
    </w:tbl>
    <w:p w14:paraId="021FB5CD"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2"/>
      </w:tblPr>
      <w:tblGrid>
        <w:gridCol w:w="2515"/>
        <w:gridCol w:w="1080"/>
        <w:gridCol w:w="1260"/>
        <w:gridCol w:w="1349"/>
        <w:gridCol w:w="1172"/>
        <w:gridCol w:w="1260"/>
        <w:gridCol w:w="1079"/>
        <w:gridCol w:w="1075"/>
      </w:tblGrid>
      <w:tr w:rsidR="00ED172B" w:rsidRPr="00ED172B" w14:paraId="46CDDEB6" w14:textId="77777777" w:rsidTr="00986B99">
        <w:trPr>
          <w:trHeight w:val="354"/>
          <w:tblHeader/>
        </w:trPr>
        <w:tc>
          <w:tcPr>
            <w:tcW w:w="1165" w:type="pct"/>
            <w:vAlign w:val="bottom"/>
          </w:tcPr>
          <w:p w14:paraId="158E1CC4" w14:textId="77777777" w:rsidR="00037032" w:rsidRPr="00A40EE1" w:rsidRDefault="008320B5" w:rsidP="00037032">
            <w:pPr>
              <w:jc w:val="center"/>
              <w:rPr>
                <w:rFonts w:cs="Arial"/>
                <w:b/>
                <w:bCs/>
                <w:color w:val="000000" w:themeColor="text1"/>
                <w:szCs w:val="16"/>
              </w:rPr>
            </w:pPr>
            <w:r>
              <w:rPr>
                <w:rFonts w:cs="Arial"/>
                <w:b/>
                <w:bCs/>
                <w:color w:val="000000" w:themeColor="text1"/>
                <w:szCs w:val="16"/>
              </w:rPr>
              <w:t>Outcome A</w:t>
            </w:r>
          </w:p>
        </w:tc>
        <w:tc>
          <w:tcPr>
            <w:tcW w:w="500" w:type="pct"/>
            <w:vAlign w:val="bottom"/>
          </w:tcPr>
          <w:p w14:paraId="07F253E4"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Numerator</w:t>
            </w:r>
          </w:p>
        </w:tc>
        <w:tc>
          <w:tcPr>
            <w:tcW w:w="584" w:type="pct"/>
            <w:vAlign w:val="bottom"/>
          </w:tcPr>
          <w:p w14:paraId="7688FD49"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Denominator</w:t>
            </w:r>
          </w:p>
        </w:tc>
        <w:tc>
          <w:tcPr>
            <w:tcW w:w="625" w:type="pct"/>
            <w:vAlign w:val="bottom"/>
          </w:tcPr>
          <w:p w14:paraId="0069C0DA" w14:textId="77777777" w:rsidR="00037032" w:rsidRPr="00ED172B" w:rsidRDefault="00CD74B5" w:rsidP="00037032">
            <w:pPr>
              <w:jc w:val="center"/>
              <w:rPr>
                <w:rFonts w:cs="Arial"/>
                <w:b/>
                <w:color w:val="000000" w:themeColor="text1"/>
                <w:szCs w:val="16"/>
              </w:rPr>
            </w:pPr>
            <w:r>
              <w:rPr>
                <w:rFonts w:cs="Arial"/>
                <w:b/>
                <w:color w:val="000000" w:themeColor="text1"/>
                <w:szCs w:val="16"/>
              </w:rPr>
              <w:t>FFY 2023 Data</w:t>
            </w:r>
          </w:p>
        </w:tc>
        <w:tc>
          <w:tcPr>
            <w:tcW w:w="543" w:type="pct"/>
            <w:vAlign w:val="bottom"/>
          </w:tcPr>
          <w:p w14:paraId="74180AE3" w14:textId="77777777" w:rsidR="00037032" w:rsidRPr="00ED172B" w:rsidRDefault="00F22D09" w:rsidP="00037032">
            <w:pPr>
              <w:jc w:val="center"/>
              <w:rPr>
                <w:rFonts w:cs="Arial"/>
                <w:b/>
                <w:color w:val="000000" w:themeColor="text1"/>
                <w:szCs w:val="16"/>
              </w:rPr>
            </w:pPr>
            <w:r>
              <w:rPr>
                <w:rFonts w:cs="Arial"/>
                <w:b/>
                <w:color w:val="000000" w:themeColor="text1"/>
                <w:szCs w:val="16"/>
              </w:rPr>
              <w:t>FFY 2024 Target</w:t>
            </w:r>
          </w:p>
        </w:tc>
        <w:tc>
          <w:tcPr>
            <w:tcW w:w="584" w:type="pct"/>
            <w:vAlign w:val="bottom"/>
          </w:tcPr>
          <w:p w14:paraId="5966A04C" w14:textId="77777777" w:rsidR="00037032" w:rsidRPr="00ED172B" w:rsidRDefault="00F22D09" w:rsidP="00037032">
            <w:pPr>
              <w:jc w:val="center"/>
              <w:rPr>
                <w:rFonts w:cs="Arial"/>
                <w:b/>
                <w:color w:val="000000" w:themeColor="text1"/>
                <w:szCs w:val="16"/>
              </w:rPr>
            </w:pPr>
            <w:r>
              <w:rPr>
                <w:rFonts w:cs="Arial"/>
                <w:b/>
                <w:color w:val="000000" w:themeColor="text1"/>
                <w:szCs w:val="16"/>
              </w:rPr>
              <w:t>FFY 2024 Data</w:t>
            </w:r>
          </w:p>
        </w:tc>
        <w:tc>
          <w:tcPr>
            <w:tcW w:w="500" w:type="pct"/>
            <w:vAlign w:val="bottom"/>
          </w:tcPr>
          <w:p w14:paraId="5120792C"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Status</w:t>
            </w:r>
          </w:p>
        </w:tc>
        <w:tc>
          <w:tcPr>
            <w:tcW w:w="498" w:type="pct"/>
            <w:vAlign w:val="bottom"/>
          </w:tcPr>
          <w:p w14:paraId="65D56699" w14:textId="77777777" w:rsidR="00037032" w:rsidRPr="00ED172B" w:rsidRDefault="00037032" w:rsidP="00037032">
            <w:pPr>
              <w:jc w:val="center"/>
              <w:rPr>
                <w:rFonts w:cs="Arial"/>
                <w:b/>
                <w:color w:val="000000" w:themeColor="text1"/>
                <w:szCs w:val="16"/>
              </w:rPr>
            </w:pPr>
            <w:r w:rsidRPr="00ED172B">
              <w:rPr>
                <w:rFonts w:cs="Arial"/>
                <w:b/>
                <w:color w:val="000000" w:themeColor="text1"/>
                <w:szCs w:val="16"/>
              </w:rPr>
              <w:t>Slippage</w:t>
            </w:r>
          </w:p>
        </w:tc>
      </w:tr>
      <w:tr w:rsidR="00ED172B" w:rsidRPr="00ED172B" w14:paraId="250B55C5" w14:textId="77777777" w:rsidTr="00986B99">
        <w:trPr>
          <w:trHeight w:val="361"/>
        </w:trPr>
        <w:tc>
          <w:tcPr>
            <w:tcW w:w="1165" w:type="pct"/>
          </w:tcPr>
          <w:p w14:paraId="62E5D1DE" w14:textId="77777777" w:rsidR="000F1858" w:rsidRPr="00ED172B" w:rsidRDefault="000F1858" w:rsidP="000F1858">
            <w:pPr>
              <w:rPr>
                <w:rFonts w:cs="Arial"/>
                <w:color w:val="000000" w:themeColor="text1"/>
                <w:szCs w:val="16"/>
              </w:rPr>
            </w:pPr>
            <w:r w:rsidRPr="00ED172B">
              <w:rPr>
                <w:rFonts w:cs="Arial"/>
                <w:color w:val="000000" w:themeColor="text1"/>
                <w:szCs w:val="16"/>
              </w:rPr>
              <w:t xml:space="preserve">A1. Of those children who entered or exited the program below age expectations in Outcome A, the </w:t>
            </w:r>
            <w:proofErr w:type="gramStart"/>
            <w:r w:rsidRPr="00ED172B">
              <w:rPr>
                <w:rFonts w:cs="Arial"/>
                <w:color w:val="000000" w:themeColor="text1"/>
                <w:szCs w:val="16"/>
              </w:rPr>
              <w:t>percent</w:t>
            </w:r>
            <w:proofErr w:type="gramEnd"/>
            <w:r w:rsidRPr="00ED172B">
              <w:rPr>
                <w:rFonts w:cs="Arial"/>
                <w:color w:val="000000" w:themeColor="text1"/>
                <w:szCs w:val="16"/>
              </w:rPr>
              <w:t xml:space="preserve"> who substantially increased their rate of growth by the time they </w:t>
            </w:r>
            <w:r w:rsidRPr="00ED172B">
              <w:rPr>
                <w:rFonts w:cs="Arial"/>
                <w:color w:val="000000" w:themeColor="text1"/>
                <w:szCs w:val="16"/>
              </w:rPr>
              <w:lastRenderedPageBreak/>
              <w:t>turned 3 years of age or exited the program</w:t>
            </w:r>
          </w:p>
        </w:tc>
        <w:tc>
          <w:tcPr>
            <w:tcW w:w="500" w:type="pct"/>
            <w:vAlign w:val="center"/>
          </w:tcPr>
          <w:p w14:paraId="25B1251D" w14:textId="77777777"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lastRenderedPageBreak/>
              <w:t>2,328</w:t>
            </w:r>
          </w:p>
        </w:tc>
        <w:tc>
          <w:tcPr>
            <w:tcW w:w="584" w:type="pct"/>
            <w:vAlign w:val="center"/>
          </w:tcPr>
          <w:p w14:paraId="17E99FDB" w14:textId="77777777" w:rsidR="000F1858" w:rsidRPr="00ED172B" w:rsidRDefault="00860830" w:rsidP="000F1858">
            <w:pPr>
              <w:pStyle w:val="Explain"/>
              <w:jc w:val="center"/>
              <w:rPr>
                <w:rFonts w:cs="Arial"/>
                <w:color w:val="000000" w:themeColor="text1"/>
                <w:szCs w:val="16"/>
              </w:rPr>
            </w:pPr>
            <w:r w:rsidRPr="00ED172B">
              <w:rPr>
                <w:rFonts w:cs="Arial"/>
                <w:color w:val="000000" w:themeColor="text1"/>
                <w:szCs w:val="16"/>
              </w:rPr>
              <w:t>3,902</w:t>
            </w:r>
          </w:p>
        </w:tc>
        <w:tc>
          <w:tcPr>
            <w:tcW w:w="625" w:type="pct"/>
            <w:vAlign w:val="center"/>
          </w:tcPr>
          <w:p w14:paraId="78A6519F"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76.59%</w:t>
            </w:r>
          </w:p>
        </w:tc>
        <w:tc>
          <w:tcPr>
            <w:tcW w:w="543" w:type="pct"/>
            <w:vAlign w:val="center"/>
          </w:tcPr>
          <w:p w14:paraId="1F964264" w14:textId="77777777" w:rsidR="000F1858" w:rsidRPr="00ED172B" w:rsidRDefault="0054124F" w:rsidP="00027F39">
            <w:pPr>
              <w:jc w:val="center"/>
              <w:rPr>
                <w:color w:val="000000" w:themeColor="text1"/>
              </w:rPr>
            </w:pPr>
            <w:r w:rsidRPr="00ED172B">
              <w:rPr>
                <w:color w:val="000000" w:themeColor="text1"/>
              </w:rPr>
              <w:t>59.00%</w:t>
            </w:r>
          </w:p>
        </w:tc>
        <w:tc>
          <w:tcPr>
            <w:tcW w:w="584" w:type="pct"/>
            <w:vAlign w:val="center"/>
          </w:tcPr>
          <w:p w14:paraId="627DB318"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59.66%</w:t>
            </w:r>
          </w:p>
        </w:tc>
        <w:tc>
          <w:tcPr>
            <w:tcW w:w="500" w:type="pct"/>
            <w:vAlign w:val="center"/>
          </w:tcPr>
          <w:p w14:paraId="0B4C857A"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Met target</w:t>
            </w:r>
          </w:p>
        </w:tc>
        <w:tc>
          <w:tcPr>
            <w:tcW w:w="498" w:type="pct"/>
            <w:vAlign w:val="center"/>
          </w:tcPr>
          <w:p w14:paraId="11A94010" w14:textId="77777777" w:rsidR="000F1858" w:rsidRPr="00ED172B" w:rsidRDefault="00860830" w:rsidP="000F1858">
            <w:pPr>
              <w:jc w:val="center"/>
              <w:rPr>
                <w:rFonts w:cs="Arial"/>
                <w:color w:val="000000" w:themeColor="text1"/>
                <w:szCs w:val="16"/>
              </w:rPr>
            </w:pPr>
            <w:r w:rsidRPr="00ED172B">
              <w:rPr>
                <w:rFonts w:cs="Arial"/>
                <w:color w:val="000000" w:themeColor="text1"/>
                <w:szCs w:val="16"/>
              </w:rPr>
              <w:t>No Slippage</w:t>
            </w:r>
          </w:p>
        </w:tc>
      </w:tr>
      <w:tr w:rsidR="00ED172B" w:rsidRPr="00ED172B" w14:paraId="374CA3AB" w14:textId="77777777" w:rsidTr="00986B99">
        <w:trPr>
          <w:trHeight w:val="361"/>
        </w:trPr>
        <w:tc>
          <w:tcPr>
            <w:tcW w:w="1165" w:type="pct"/>
          </w:tcPr>
          <w:p w14:paraId="3EE623A2" w14:textId="77777777" w:rsidR="00A52D95" w:rsidRPr="00ED172B" w:rsidRDefault="00A52D95" w:rsidP="00A52D95">
            <w:pPr>
              <w:rPr>
                <w:rFonts w:cs="Arial"/>
                <w:color w:val="000000" w:themeColor="text1"/>
                <w:szCs w:val="16"/>
              </w:rPr>
            </w:pPr>
            <w:r w:rsidRPr="00ED172B">
              <w:rPr>
                <w:rFonts w:cs="Arial"/>
                <w:color w:val="000000" w:themeColor="text1"/>
                <w:szCs w:val="16"/>
              </w:rPr>
              <w:t xml:space="preserve">A2. The </w:t>
            </w:r>
            <w:proofErr w:type="gramStart"/>
            <w:r w:rsidRPr="00ED172B">
              <w:rPr>
                <w:rFonts w:cs="Arial"/>
                <w:color w:val="000000" w:themeColor="text1"/>
                <w:szCs w:val="16"/>
              </w:rPr>
              <w:t>percent</w:t>
            </w:r>
            <w:proofErr w:type="gramEnd"/>
            <w:r w:rsidRPr="00ED172B">
              <w:rPr>
                <w:rFonts w:cs="Arial"/>
                <w:color w:val="000000" w:themeColor="text1"/>
                <w:szCs w:val="16"/>
              </w:rPr>
              <w:t xml:space="preserve"> of infants and toddlers who were functioning within age expectations in Outcome A by the time they turned 3 years of age or exited the program</w:t>
            </w:r>
          </w:p>
        </w:tc>
        <w:tc>
          <w:tcPr>
            <w:tcW w:w="500" w:type="pct"/>
            <w:vAlign w:val="center"/>
          </w:tcPr>
          <w:p w14:paraId="1DF1D91E" w14:textId="77777777"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5,188</w:t>
            </w:r>
          </w:p>
        </w:tc>
        <w:tc>
          <w:tcPr>
            <w:tcW w:w="584" w:type="pct"/>
            <w:vAlign w:val="center"/>
          </w:tcPr>
          <w:p w14:paraId="62231083" w14:textId="77777777" w:rsidR="00A52D95" w:rsidRPr="00ED172B" w:rsidRDefault="00860830" w:rsidP="00A52D95">
            <w:pPr>
              <w:pStyle w:val="Explain"/>
              <w:jc w:val="center"/>
              <w:rPr>
                <w:rFonts w:cs="Arial"/>
                <w:color w:val="000000" w:themeColor="text1"/>
                <w:szCs w:val="16"/>
              </w:rPr>
            </w:pPr>
            <w:r w:rsidRPr="00ED172B">
              <w:rPr>
                <w:rFonts w:cs="Arial"/>
                <w:color w:val="000000" w:themeColor="text1"/>
                <w:szCs w:val="16"/>
              </w:rPr>
              <w:t>7,155</w:t>
            </w:r>
          </w:p>
        </w:tc>
        <w:tc>
          <w:tcPr>
            <w:tcW w:w="625" w:type="pct"/>
            <w:vAlign w:val="center"/>
          </w:tcPr>
          <w:p w14:paraId="763D6FC4"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70.95%</w:t>
            </w:r>
          </w:p>
        </w:tc>
        <w:tc>
          <w:tcPr>
            <w:tcW w:w="543" w:type="pct"/>
            <w:vAlign w:val="center"/>
          </w:tcPr>
          <w:p w14:paraId="2DF5ADE9" w14:textId="77777777" w:rsidR="00A52D95" w:rsidRPr="00ED172B" w:rsidRDefault="002332D6">
            <w:pPr>
              <w:jc w:val="center"/>
              <w:rPr>
                <w:color w:val="000000" w:themeColor="text1"/>
              </w:rPr>
            </w:pPr>
            <w:r w:rsidRPr="00ED172B">
              <w:rPr>
                <w:color w:val="000000" w:themeColor="text1"/>
              </w:rPr>
              <w:t>52.00%</w:t>
            </w:r>
          </w:p>
        </w:tc>
        <w:tc>
          <w:tcPr>
            <w:tcW w:w="584" w:type="pct"/>
            <w:vAlign w:val="center"/>
          </w:tcPr>
          <w:p w14:paraId="451D994A"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72.51%</w:t>
            </w:r>
          </w:p>
        </w:tc>
        <w:tc>
          <w:tcPr>
            <w:tcW w:w="500" w:type="pct"/>
            <w:vAlign w:val="center"/>
          </w:tcPr>
          <w:p w14:paraId="1B8E76F7"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Met target</w:t>
            </w:r>
          </w:p>
        </w:tc>
        <w:tc>
          <w:tcPr>
            <w:tcW w:w="498" w:type="pct"/>
            <w:vAlign w:val="center"/>
          </w:tcPr>
          <w:p w14:paraId="4376955B" w14:textId="77777777" w:rsidR="00A52D95" w:rsidRPr="00ED172B" w:rsidRDefault="00860830" w:rsidP="00A52D95">
            <w:pPr>
              <w:jc w:val="center"/>
              <w:rPr>
                <w:rFonts w:cs="Arial"/>
                <w:color w:val="000000" w:themeColor="text1"/>
                <w:szCs w:val="16"/>
              </w:rPr>
            </w:pPr>
            <w:r w:rsidRPr="00ED172B">
              <w:rPr>
                <w:rFonts w:cs="Arial"/>
                <w:color w:val="000000" w:themeColor="text1"/>
                <w:szCs w:val="16"/>
              </w:rPr>
              <w:t>No Slippage</w:t>
            </w:r>
          </w:p>
        </w:tc>
      </w:tr>
    </w:tbl>
    <w:p w14:paraId="122FA846" w14:textId="77777777" w:rsidR="001A4B29" w:rsidRPr="00ED172B" w:rsidRDefault="001A4B29">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3"/>
      </w:tblPr>
      <w:tblGrid>
        <w:gridCol w:w="7094"/>
        <w:gridCol w:w="1683"/>
        <w:gridCol w:w="2013"/>
      </w:tblGrid>
      <w:tr w:rsidR="008320B5" w:rsidRPr="00ED172B" w14:paraId="52552ABB" w14:textId="77777777" w:rsidTr="00A40EE1">
        <w:trPr>
          <w:trHeight w:val="361"/>
          <w:tblHeader/>
        </w:trPr>
        <w:tc>
          <w:tcPr>
            <w:tcW w:w="3287" w:type="pct"/>
            <w:vAlign w:val="bottom"/>
          </w:tcPr>
          <w:p w14:paraId="49572E0A" w14:textId="77777777" w:rsidR="008320B5" w:rsidRPr="00ED172B" w:rsidRDefault="008320B5" w:rsidP="008320B5">
            <w:pPr>
              <w:rPr>
                <w:rFonts w:cs="Arial"/>
                <w:color w:val="000000" w:themeColor="text1"/>
                <w:szCs w:val="16"/>
              </w:rPr>
            </w:pPr>
            <w:r>
              <w:rPr>
                <w:rFonts w:cs="Arial"/>
                <w:b/>
                <w:color w:val="000000" w:themeColor="text1"/>
                <w:szCs w:val="16"/>
              </w:rPr>
              <w:t xml:space="preserve">Outcome B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780" w:type="pct"/>
            <w:vAlign w:val="center"/>
          </w:tcPr>
          <w:p w14:paraId="308E20B5"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Number of Children</w:t>
            </w:r>
          </w:p>
        </w:tc>
        <w:tc>
          <w:tcPr>
            <w:tcW w:w="933" w:type="pct"/>
          </w:tcPr>
          <w:p w14:paraId="578988E2" w14:textId="77777777" w:rsidR="008320B5" w:rsidRPr="00ED172B" w:rsidRDefault="008320B5" w:rsidP="008320B5">
            <w:pPr>
              <w:jc w:val="center"/>
              <w:rPr>
                <w:rFonts w:cs="Arial"/>
                <w:b/>
                <w:color w:val="000000" w:themeColor="text1"/>
                <w:szCs w:val="16"/>
              </w:rPr>
            </w:pPr>
            <w:r w:rsidRPr="00ED172B">
              <w:rPr>
                <w:rFonts w:cs="Arial"/>
                <w:b/>
                <w:color w:val="000000" w:themeColor="text1"/>
                <w:szCs w:val="16"/>
              </w:rPr>
              <w:t>Percentage of Total</w:t>
            </w:r>
          </w:p>
        </w:tc>
      </w:tr>
      <w:tr w:rsidR="008320B5" w:rsidRPr="00ED172B" w14:paraId="60C67E96" w14:textId="77777777" w:rsidTr="008320B5">
        <w:trPr>
          <w:trHeight w:val="361"/>
        </w:trPr>
        <w:tc>
          <w:tcPr>
            <w:tcW w:w="3287" w:type="pct"/>
            <w:vAlign w:val="center"/>
          </w:tcPr>
          <w:p w14:paraId="28551F9A" w14:textId="77777777" w:rsidR="008320B5" w:rsidRPr="00ED172B" w:rsidRDefault="008320B5" w:rsidP="008320B5">
            <w:pPr>
              <w:rPr>
                <w:rFonts w:cs="Arial"/>
                <w:color w:val="000000" w:themeColor="text1"/>
                <w:szCs w:val="16"/>
              </w:rPr>
            </w:pPr>
            <w:r w:rsidRPr="00ED172B">
              <w:rPr>
                <w:rFonts w:cs="Arial"/>
                <w:color w:val="000000" w:themeColor="text1"/>
                <w:szCs w:val="16"/>
              </w:rPr>
              <w:t>a. Infants and toddlers who did not improve functioning</w:t>
            </w:r>
          </w:p>
        </w:tc>
        <w:tc>
          <w:tcPr>
            <w:tcW w:w="780" w:type="pct"/>
            <w:vAlign w:val="center"/>
          </w:tcPr>
          <w:p w14:paraId="64AA1E5A"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514</w:t>
            </w:r>
          </w:p>
        </w:tc>
        <w:tc>
          <w:tcPr>
            <w:tcW w:w="933" w:type="pct"/>
            <w:vAlign w:val="center"/>
          </w:tcPr>
          <w:p w14:paraId="6D5B4081"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7.18%</w:t>
            </w:r>
          </w:p>
        </w:tc>
      </w:tr>
      <w:tr w:rsidR="008320B5" w:rsidRPr="00ED172B" w14:paraId="09DDC616" w14:textId="77777777" w:rsidTr="008320B5">
        <w:trPr>
          <w:trHeight w:val="361"/>
        </w:trPr>
        <w:tc>
          <w:tcPr>
            <w:tcW w:w="3287" w:type="pct"/>
            <w:vAlign w:val="center"/>
          </w:tcPr>
          <w:p w14:paraId="39F325B9" w14:textId="77777777" w:rsidR="008320B5" w:rsidRPr="00ED172B" w:rsidRDefault="008320B5" w:rsidP="008320B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80" w:type="pct"/>
            <w:vAlign w:val="center"/>
          </w:tcPr>
          <w:p w14:paraId="3FFAECE5"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2,679</w:t>
            </w:r>
          </w:p>
        </w:tc>
        <w:tc>
          <w:tcPr>
            <w:tcW w:w="933" w:type="pct"/>
            <w:vAlign w:val="center"/>
          </w:tcPr>
          <w:p w14:paraId="185ED9FF"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37.44%</w:t>
            </w:r>
          </w:p>
        </w:tc>
      </w:tr>
      <w:tr w:rsidR="008320B5" w:rsidRPr="00ED172B" w14:paraId="78D03DB0" w14:textId="77777777" w:rsidTr="008320B5">
        <w:trPr>
          <w:trHeight w:val="361"/>
        </w:trPr>
        <w:tc>
          <w:tcPr>
            <w:tcW w:w="3287" w:type="pct"/>
            <w:vAlign w:val="center"/>
          </w:tcPr>
          <w:p w14:paraId="1C04E12F" w14:textId="77777777" w:rsidR="008320B5" w:rsidRPr="00ED172B" w:rsidRDefault="008320B5" w:rsidP="008320B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80" w:type="pct"/>
            <w:vAlign w:val="center"/>
          </w:tcPr>
          <w:p w14:paraId="023F7B7B"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691</w:t>
            </w:r>
          </w:p>
        </w:tc>
        <w:tc>
          <w:tcPr>
            <w:tcW w:w="933" w:type="pct"/>
            <w:vAlign w:val="center"/>
          </w:tcPr>
          <w:p w14:paraId="5870C206"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9.66%</w:t>
            </w:r>
          </w:p>
        </w:tc>
      </w:tr>
      <w:tr w:rsidR="008320B5" w:rsidRPr="00ED172B" w14:paraId="5AA5EB0A" w14:textId="77777777" w:rsidTr="008320B5">
        <w:trPr>
          <w:trHeight w:val="361"/>
        </w:trPr>
        <w:tc>
          <w:tcPr>
            <w:tcW w:w="3287" w:type="pct"/>
            <w:vAlign w:val="center"/>
          </w:tcPr>
          <w:p w14:paraId="67DB9427" w14:textId="77777777" w:rsidR="008320B5" w:rsidRPr="00ED172B" w:rsidRDefault="008320B5" w:rsidP="008320B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80" w:type="pct"/>
            <w:vAlign w:val="center"/>
          </w:tcPr>
          <w:p w14:paraId="6DCF88E3"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1,880</w:t>
            </w:r>
          </w:p>
        </w:tc>
        <w:tc>
          <w:tcPr>
            <w:tcW w:w="933" w:type="pct"/>
            <w:vAlign w:val="center"/>
          </w:tcPr>
          <w:p w14:paraId="4DC35BCF"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26.28%</w:t>
            </w:r>
          </w:p>
        </w:tc>
      </w:tr>
      <w:tr w:rsidR="008320B5" w:rsidRPr="00ED172B" w14:paraId="11B0041B" w14:textId="77777777" w:rsidTr="008320B5">
        <w:trPr>
          <w:trHeight w:val="361"/>
        </w:trPr>
        <w:tc>
          <w:tcPr>
            <w:tcW w:w="3287" w:type="pct"/>
            <w:vAlign w:val="center"/>
          </w:tcPr>
          <w:p w14:paraId="2A36CC7B" w14:textId="77777777" w:rsidR="008320B5" w:rsidRPr="00ED172B" w:rsidRDefault="008320B5" w:rsidP="008320B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80" w:type="pct"/>
            <w:vAlign w:val="center"/>
          </w:tcPr>
          <w:p w14:paraId="134F491A"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1,391</w:t>
            </w:r>
          </w:p>
        </w:tc>
        <w:tc>
          <w:tcPr>
            <w:tcW w:w="933" w:type="pct"/>
            <w:vAlign w:val="center"/>
          </w:tcPr>
          <w:p w14:paraId="63B429AF" w14:textId="77777777" w:rsidR="008320B5" w:rsidRPr="00ED172B" w:rsidRDefault="008320B5" w:rsidP="008320B5">
            <w:pPr>
              <w:jc w:val="center"/>
              <w:rPr>
                <w:rFonts w:cs="Arial"/>
                <w:color w:val="000000" w:themeColor="text1"/>
                <w:szCs w:val="16"/>
              </w:rPr>
            </w:pPr>
            <w:r w:rsidRPr="00ED172B">
              <w:rPr>
                <w:rFonts w:cs="Arial"/>
                <w:color w:val="000000" w:themeColor="text1"/>
                <w:szCs w:val="16"/>
              </w:rPr>
              <w:t>19.44%</w:t>
            </w:r>
          </w:p>
        </w:tc>
      </w:tr>
    </w:tbl>
    <w:p w14:paraId="289A3802" w14:textId="77777777" w:rsidR="001A4B29" w:rsidRPr="00ED172B" w:rsidRDefault="001A4B29" w:rsidP="00834FB7">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4"/>
      </w:tblPr>
      <w:tblGrid>
        <w:gridCol w:w="2425"/>
        <w:gridCol w:w="1170"/>
        <w:gridCol w:w="1260"/>
        <w:gridCol w:w="1350"/>
        <w:gridCol w:w="1440"/>
        <w:gridCol w:w="1260"/>
        <w:gridCol w:w="990"/>
        <w:gridCol w:w="895"/>
      </w:tblGrid>
      <w:tr w:rsidR="00ED172B" w:rsidRPr="00ED172B" w14:paraId="4ED70945" w14:textId="77777777" w:rsidTr="00986B99">
        <w:trPr>
          <w:tblHeader/>
        </w:trPr>
        <w:tc>
          <w:tcPr>
            <w:tcW w:w="2425" w:type="dxa"/>
            <w:vAlign w:val="bottom"/>
          </w:tcPr>
          <w:p w14:paraId="3F63610B" w14:textId="77777777" w:rsidR="00037032" w:rsidRPr="00A40EE1" w:rsidRDefault="008320B5" w:rsidP="00B83404">
            <w:pPr>
              <w:rPr>
                <w:b/>
                <w:bCs/>
                <w:color w:val="000000" w:themeColor="text1"/>
              </w:rPr>
            </w:pPr>
            <w:r w:rsidRPr="00A40EE1">
              <w:rPr>
                <w:b/>
                <w:bCs/>
                <w:color w:val="000000" w:themeColor="text1"/>
              </w:rPr>
              <w:t>Outcome B</w:t>
            </w:r>
          </w:p>
        </w:tc>
        <w:tc>
          <w:tcPr>
            <w:tcW w:w="1170" w:type="dxa"/>
            <w:vAlign w:val="bottom"/>
          </w:tcPr>
          <w:p w14:paraId="628EC54D" w14:textId="77777777" w:rsidR="00037032" w:rsidRPr="00ED172B" w:rsidRDefault="00037032" w:rsidP="00037032">
            <w:pPr>
              <w:keepNext/>
              <w:jc w:val="center"/>
              <w:rPr>
                <w:b/>
                <w:color w:val="000000" w:themeColor="text1"/>
                <w:szCs w:val="16"/>
              </w:rPr>
            </w:pPr>
            <w:r w:rsidRPr="00ED172B">
              <w:rPr>
                <w:b/>
                <w:color w:val="000000" w:themeColor="text1"/>
                <w:szCs w:val="16"/>
              </w:rPr>
              <w:t>Numerator</w:t>
            </w:r>
          </w:p>
        </w:tc>
        <w:tc>
          <w:tcPr>
            <w:tcW w:w="1260" w:type="dxa"/>
            <w:vAlign w:val="bottom"/>
          </w:tcPr>
          <w:p w14:paraId="1A3400CE" w14:textId="77777777" w:rsidR="00037032" w:rsidRPr="00ED172B" w:rsidRDefault="00037032" w:rsidP="00037032">
            <w:pPr>
              <w:keepNext/>
              <w:jc w:val="center"/>
              <w:rPr>
                <w:b/>
                <w:color w:val="000000" w:themeColor="text1"/>
                <w:szCs w:val="16"/>
              </w:rPr>
            </w:pPr>
            <w:r w:rsidRPr="00ED172B">
              <w:rPr>
                <w:b/>
                <w:color w:val="000000" w:themeColor="text1"/>
                <w:szCs w:val="16"/>
              </w:rPr>
              <w:t>Denominator</w:t>
            </w:r>
          </w:p>
        </w:tc>
        <w:tc>
          <w:tcPr>
            <w:tcW w:w="1350" w:type="dxa"/>
            <w:vAlign w:val="bottom"/>
          </w:tcPr>
          <w:p w14:paraId="580F8C8B" w14:textId="77777777" w:rsidR="00037032" w:rsidRPr="00ED172B" w:rsidRDefault="00CD74B5" w:rsidP="00037032">
            <w:pPr>
              <w:keepNext/>
              <w:jc w:val="center"/>
              <w:rPr>
                <w:b/>
                <w:color w:val="000000" w:themeColor="text1"/>
                <w:szCs w:val="16"/>
              </w:rPr>
            </w:pPr>
            <w:r>
              <w:rPr>
                <w:rFonts w:cs="Arial"/>
                <w:b/>
                <w:color w:val="000000" w:themeColor="text1"/>
                <w:szCs w:val="16"/>
              </w:rPr>
              <w:t>FFY 2023 Data</w:t>
            </w:r>
          </w:p>
        </w:tc>
        <w:tc>
          <w:tcPr>
            <w:tcW w:w="1440" w:type="dxa"/>
            <w:vAlign w:val="bottom"/>
          </w:tcPr>
          <w:p w14:paraId="678F82B1" w14:textId="77777777" w:rsidR="00037032" w:rsidRPr="00ED172B" w:rsidRDefault="00F22D09" w:rsidP="00037032">
            <w:pPr>
              <w:keepNext/>
              <w:jc w:val="center"/>
              <w:rPr>
                <w:b/>
                <w:color w:val="000000" w:themeColor="text1"/>
                <w:szCs w:val="16"/>
              </w:rPr>
            </w:pPr>
            <w:r>
              <w:rPr>
                <w:rFonts w:cs="Arial"/>
                <w:b/>
                <w:color w:val="000000" w:themeColor="text1"/>
                <w:szCs w:val="16"/>
              </w:rPr>
              <w:t>FFY 2024 Target</w:t>
            </w:r>
          </w:p>
        </w:tc>
        <w:tc>
          <w:tcPr>
            <w:tcW w:w="1260" w:type="dxa"/>
            <w:vAlign w:val="bottom"/>
          </w:tcPr>
          <w:p w14:paraId="0795A41C" w14:textId="77777777" w:rsidR="00037032" w:rsidRPr="00ED172B" w:rsidRDefault="00F22D09" w:rsidP="00037032">
            <w:pPr>
              <w:keepNext/>
              <w:jc w:val="center"/>
              <w:rPr>
                <w:b/>
                <w:color w:val="000000" w:themeColor="text1"/>
                <w:szCs w:val="16"/>
              </w:rPr>
            </w:pPr>
            <w:r>
              <w:rPr>
                <w:rFonts w:cs="Arial"/>
                <w:b/>
                <w:color w:val="000000" w:themeColor="text1"/>
                <w:szCs w:val="16"/>
              </w:rPr>
              <w:t>FFY 2024 Data</w:t>
            </w:r>
          </w:p>
        </w:tc>
        <w:tc>
          <w:tcPr>
            <w:tcW w:w="990" w:type="dxa"/>
            <w:vAlign w:val="bottom"/>
          </w:tcPr>
          <w:p w14:paraId="12C5778D" w14:textId="77777777" w:rsidR="00037032" w:rsidRPr="00ED172B" w:rsidRDefault="00037032" w:rsidP="00037032">
            <w:pPr>
              <w:keepNext/>
              <w:jc w:val="center"/>
              <w:rPr>
                <w:b/>
                <w:color w:val="000000" w:themeColor="text1"/>
                <w:szCs w:val="16"/>
              </w:rPr>
            </w:pPr>
            <w:r w:rsidRPr="00ED172B">
              <w:rPr>
                <w:b/>
                <w:color w:val="000000" w:themeColor="text1"/>
                <w:szCs w:val="16"/>
              </w:rPr>
              <w:t>Status</w:t>
            </w:r>
          </w:p>
        </w:tc>
        <w:tc>
          <w:tcPr>
            <w:tcW w:w="895" w:type="dxa"/>
            <w:vAlign w:val="bottom"/>
          </w:tcPr>
          <w:p w14:paraId="3C882A99" w14:textId="77777777" w:rsidR="00037032" w:rsidRPr="00ED172B" w:rsidRDefault="00037032" w:rsidP="00037032">
            <w:pPr>
              <w:keepNext/>
              <w:jc w:val="center"/>
              <w:rPr>
                <w:b/>
                <w:color w:val="000000" w:themeColor="text1"/>
                <w:szCs w:val="16"/>
              </w:rPr>
            </w:pPr>
            <w:r w:rsidRPr="00ED172B">
              <w:rPr>
                <w:b/>
                <w:color w:val="000000" w:themeColor="text1"/>
                <w:szCs w:val="16"/>
              </w:rPr>
              <w:t>Slippage</w:t>
            </w:r>
          </w:p>
        </w:tc>
      </w:tr>
      <w:tr w:rsidR="00ED172B" w:rsidRPr="00ED172B" w14:paraId="17A27576" w14:textId="77777777" w:rsidTr="00986B99">
        <w:tc>
          <w:tcPr>
            <w:tcW w:w="2425" w:type="dxa"/>
          </w:tcPr>
          <w:p w14:paraId="2A8B862B" w14:textId="77777777" w:rsidR="0025243E" w:rsidRPr="00ED172B" w:rsidRDefault="0025243E" w:rsidP="0025243E">
            <w:pPr>
              <w:rPr>
                <w:color w:val="000000" w:themeColor="text1"/>
                <w:szCs w:val="16"/>
              </w:rPr>
            </w:pPr>
            <w:r w:rsidRPr="00ED172B">
              <w:rPr>
                <w:color w:val="000000" w:themeColor="text1"/>
                <w:szCs w:val="16"/>
              </w:rPr>
              <w:t xml:space="preserve">B1. Of those children who entered or exited the program below age expectations in Outcome B, the </w:t>
            </w:r>
            <w:proofErr w:type="gramStart"/>
            <w:r w:rsidRPr="00ED172B">
              <w:rPr>
                <w:color w:val="000000" w:themeColor="text1"/>
                <w:szCs w:val="16"/>
              </w:rPr>
              <w:t>percent who</w:t>
            </w:r>
            <w:proofErr w:type="gramEnd"/>
            <w:r w:rsidRPr="00ED172B">
              <w:rPr>
                <w:color w:val="000000" w:themeColor="text1"/>
                <w:szCs w:val="16"/>
              </w:rPr>
              <w:t xml:space="preserve"> substantially increased their rate of growth by the time they turned 3 years of age or exited the program</w:t>
            </w:r>
          </w:p>
        </w:tc>
        <w:tc>
          <w:tcPr>
            <w:tcW w:w="1170" w:type="dxa"/>
            <w:vAlign w:val="center"/>
          </w:tcPr>
          <w:p w14:paraId="45A6DAE4"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2,571</w:t>
            </w:r>
          </w:p>
        </w:tc>
        <w:tc>
          <w:tcPr>
            <w:tcW w:w="1260" w:type="dxa"/>
            <w:vAlign w:val="center"/>
          </w:tcPr>
          <w:p w14:paraId="2D282A4E"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5,764</w:t>
            </w:r>
          </w:p>
        </w:tc>
        <w:tc>
          <w:tcPr>
            <w:tcW w:w="1350" w:type="dxa"/>
            <w:vAlign w:val="center"/>
          </w:tcPr>
          <w:p w14:paraId="78EBC521" w14:textId="77777777" w:rsidR="0025243E" w:rsidRPr="00ED172B" w:rsidRDefault="00860830" w:rsidP="0025243E">
            <w:pPr>
              <w:jc w:val="center"/>
              <w:rPr>
                <w:color w:val="000000" w:themeColor="text1"/>
                <w:szCs w:val="16"/>
              </w:rPr>
            </w:pPr>
            <w:r w:rsidRPr="00ED172B">
              <w:rPr>
                <w:rFonts w:cs="Arial"/>
                <w:color w:val="000000" w:themeColor="text1"/>
                <w:szCs w:val="16"/>
              </w:rPr>
              <w:t>53.15%</w:t>
            </w:r>
          </w:p>
        </w:tc>
        <w:tc>
          <w:tcPr>
            <w:tcW w:w="1440" w:type="dxa"/>
            <w:vAlign w:val="center"/>
          </w:tcPr>
          <w:p w14:paraId="07F6782E" w14:textId="77777777" w:rsidR="0025243E" w:rsidRPr="00ED172B" w:rsidRDefault="001E39E3" w:rsidP="001E39E3">
            <w:pPr>
              <w:jc w:val="center"/>
              <w:rPr>
                <w:color w:val="000000" w:themeColor="text1"/>
              </w:rPr>
            </w:pPr>
            <w:r w:rsidRPr="00ED172B">
              <w:rPr>
                <w:color w:val="000000" w:themeColor="text1"/>
              </w:rPr>
              <w:t>58.00%</w:t>
            </w:r>
          </w:p>
        </w:tc>
        <w:tc>
          <w:tcPr>
            <w:tcW w:w="1260" w:type="dxa"/>
            <w:vAlign w:val="center"/>
          </w:tcPr>
          <w:p w14:paraId="156D337D" w14:textId="77777777" w:rsidR="0025243E" w:rsidRPr="00ED172B" w:rsidRDefault="00860830" w:rsidP="0025243E">
            <w:pPr>
              <w:jc w:val="center"/>
              <w:rPr>
                <w:color w:val="000000" w:themeColor="text1"/>
                <w:szCs w:val="16"/>
              </w:rPr>
            </w:pPr>
            <w:r w:rsidRPr="00ED172B">
              <w:rPr>
                <w:rFonts w:cs="Arial"/>
                <w:color w:val="000000" w:themeColor="text1"/>
                <w:szCs w:val="16"/>
              </w:rPr>
              <w:t>44.60%</w:t>
            </w:r>
          </w:p>
        </w:tc>
        <w:tc>
          <w:tcPr>
            <w:tcW w:w="990" w:type="dxa"/>
            <w:vAlign w:val="center"/>
          </w:tcPr>
          <w:p w14:paraId="195CED6C" w14:textId="77777777" w:rsidR="0025243E" w:rsidRPr="00ED172B" w:rsidRDefault="00860830" w:rsidP="0025243E">
            <w:pPr>
              <w:jc w:val="center"/>
              <w:rPr>
                <w:color w:val="000000" w:themeColor="text1"/>
                <w:szCs w:val="16"/>
              </w:rPr>
            </w:pPr>
            <w:r w:rsidRPr="00ED172B">
              <w:rPr>
                <w:rFonts w:cs="Arial"/>
                <w:color w:val="000000" w:themeColor="text1"/>
                <w:szCs w:val="16"/>
              </w:rPr>
              <w:t>Did not meet target</w:t>
            </w:r>
          </w:p>
        </w:tc>
        <w:tc>
          <w:tcPr>
            <w:tcW w:w="895" w:type="dxa"/>
            <w:vAlign w:val="center"/>
          </w:tcPr>
          <w:p w14:paraId="1D0D05C1" w14:textId="77777777" w:rsidR="0025243E" w:rsidRPr="00ED172B" w:rsidRDefault="00860830" w:rsidP="0025243E">
            <w:pPr>
              <w:jc w:val="center"/>
              <w:rPr>
                <w:color w:val="000000" w:themeColor="text1"/>
                <w:szCs w:val="16"/>
              </w:rPr>
            </w:pPr>
            <w:r w:rsidRPr="00ED172B">
              <w:rPr>
                <w:rFonts w:cs="Arial"/>
                <w:color w:val="000000" w:themeColor="text1"/>
                <w:szCs w:val="16"/>
              </w:rPr>
              <w:t>Slippage</w:t>
            </w:r>
          </w:p>
        </w:tc>
      </w:tr>
      <w:tr w:rsidR="00ED172B" w:rsidRPr="00ED172B" w14:paraId="30213196" w14:textId="77777777" w:rsidTr="00986B99">
        <w:tc>
          <w:tcPr>
            <w:tcW w:w="2425" w:type="dxa"/>
          </w:tcPr>
          <w:p w14:paraId="4E80FA1F" w14:textId="77777777" w:rsidR="0025243E" w:rsidRPr="00ED172B" w:rsidRDefault="0025243E" w:rsidP="0025243E">
            <w:pPr>
              <w:rPr>
                <w:color w:val="000000" w:themeColor="text1"/>
                <w:szCs w:val="16"/>
              </w:rPr>
            </w:pPr>
            <w:r w:rsidRPr="00ED172B">
              <w:rPr>
                <w:color w:val="000000" w:themeColor="text1"/>
                <w:szCs w:val="16"/>
              </w:rPr>
              <w:t xml:space="preserve">B2. The </w:t>
            </w:r>
            <w:proofErr w:type="gramStart"/>
            <w:r w:rsidRPr="00ED172B">
              <w:rPr>
                <w:color w:val="000000" w:themeColor="text1"/>
                <w:szCs w:val="16"/>
              </w:rPr>
              <w:t>percent</w:t>
            </w:r>
            <w:proofErr w:type="gramEnd"/>
            <w:r w:rsidRPr="00ED172B">
              <w:rPr>
                <w:color w:val="000000" w:themeColor="text1"/>
                <w:szCs w:val="16"/>
              </w:rPr>
              <w:t xml:space="preserve"> of infants and toddlers who were functioning within age expectations in Outcome B by the time they turned 3 years of age or exited the program</w:t>
            </w:r>
          </w:p>
        </w:tc>
        <w:tc>
          <w:tcPr>
            <w:tcW w:w="1170" w:type="dxa"/>
            <w:vAlign w:val="center"/>
          </w:tcPr>
          <w:p w14:paraId="45085153"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3,271</w:t>
            </w:r>
          </w:p>
        </w:tc>
        <w:tc>
          <w:tcPr>
            <w:tcW w:w="1260" w:type="dxa"/>
            <w:vAlign w:val="center"/>
          </w:tcPr>
          <w:p w14:paraId="6B24C3BA" w14:textId="77777777" w:rsidR="0025243E" w:rsidRPr="00ED172B" w:rsidRDefault="00860830" w:rsidP="0025243E">
            <w:pPr>
              <w:pStyle w:val="Explain"/>
              <w:jc w:val="center"/>
              <w:rPr>
                <w:color w:val="000000" w:themeColor="text1"/>
                <w:szCs w:val="16"/>
              </w:rPr>
            </w:pPr>
            <w:r w:rsidRPr="00ED172B">
              <w:rPr>
                <w:rFonts w:cs="Arial"/>
                <w:color w:val="000000" w:themeColor="text1"/>
                <w:szCs w:val="16"/>
              </w:rPr>
              <w:t>7,155</w:t>
            </w:r>
          </w:p>
        </w:tc>
        <w:tc>
          <w:tcPr>
            <w:tcW w:w="1350" w:type="dxa"/>
            <w:vAlign w:val="center"/>
          </w:tcPr>
          <w:p w14:paraId="7C75A9F5" w14:textId="77777777" w:rsidR="0025243E" w:rsidRPr="00ED172B" w:rsidRDefault="00860830" w:rsidP="0025243E">
            <w:pPr>
              <w:jc w:val="center"/>
              <w:rPr>
                <w:color w:val="000000" w:themeColor="text1"/>
                <w:szCs w:val="16"/>
              </w:rPr>
            </w:pPr>
            <w:r w:rsidRPr="00ED172B">
              <w:rPr>
                <w:rFonts w:cs="Arial"/>
                <w:color w:val="000000" w:themeColor="text1"/>
                <w:szCs w:val="16"/>
              </w:rPr>
              <w:t>47.42%</w:t>
            </w:r>
          </w:p>
        </w:tc>
        <w:tc>
          <w:tcPr>
            <w:tcW w:w="1440" w:type="dxa"/>
            <w:vAlign w:val="center"/>
          </w:tcPr>
          <w:p w14:paraId="490611B7" w14:textId="77777777" w:rsidR="0025243E" w:rsidRPr="00ED172B" w:rsidRDefault="001E39E3" w:rsidP="001E39E3">
            <w:pPr>
              <w:jc w:val="center"/>
              <w:rPr>
                <w:color w:val="000000" w:themeColor="text1"/>
              </w:rPr>
            </w:pPr>
            <w:r w:rsidRPr="00ED172B">
              <w:rPr>
                <w:color w:val="000000" w:themeColor="text1"/>
              </w:rPr>
              <w:t>34.00%</w:t>
            </w:r>
          </w:p>
        </w:tc>
        <w:tc>
          <w:tcPr>
            <w:tcW w:w="1260" w:type="dxa"/>
            <w:vAlign w:val="center"/>
          </w:tcPr>
          <w:p w14:paraId="08E2811C" w14:textId="77777777" w:rsidR="0025243E" w:rsidRPr="00ED172B" w:rsidRDefault="00860830" w:rsidP="0025243E">
            <w:pPr>
              <w:jc w:val="center"/>
              <w:rPr>
                <w:color w:val="000000" w:themeColor="text1"/>
                <w:szCs w:val="16"/>
              </w:rPr>
            </w:pPr>
            <w:r w:rsidRPr="00ED172B">
              <w:rPr>
                <w:rFonts w:cs="Arial"/>
                <w:color w:val="000000" w:themeColor="text1"/>
                <w:szCs w:val="16"/>
              </w:rPr>
              <w:t>45.72%</w:t>
            </w:r>
          </w:p>
        </w:tc>
        <w:tc>
          <w:tcPr>
            <w:tcW w:w="990" w:type="dxa"/>
            <w:vAlign w:val="center"/>
          </w:tcPr>
          <w:p w14:paraId="747FCAA9" w14:textId="77777777" w:rsidR="0025243E" w:rsidRPr="00ED172B" w:rsidRDefault="00860830" w:rsidP="0025243E">
            <w:pPr>
              <w:jc w:val="center"/>
              <w:rPr>
                <w:color w:val="000000" w:themeColor="text1"/>
                <w:szCs w:val="16"/>
              </w:rPr>
            </w:pPr>
            <w:r w:rsidRPr="00ED172B">
              <w:rPr>
                <w:rFonts w:cs="Arial"/>
                <w:color w:val="000000" w:themeColor="text1"/>
                <w:szCs w:val="16"/>
              </w:rPr>
              <w:t>Met target</w:t>
            </w:r>
          </w:p>
        </w:tc>
        <w:tc>
          <w:tcPr>
            <w:tcW w:w="895" w:type="dxa"/>
            <w:vAlign w:val="center"/>
          </w:tcPr>
          <w:p w14:paraId="658EBE23" w14:textId="77777777" w:rsidR="0025243E" w:rsidRPr="00ED172B" w:rsidRDefault="00860830" w:rsidP="0025243E">
            <w:pPr>
              <w:jc w:val="center"/>
              <w:rPr>
                <w:color w:val="000000" w:themeColor="text1"/>
                <w:szCs w:val="16"/>
              </w:rPr>
            </w:pPr>
            <w:r w:rsidRPr="00ED172B">
              <w:rPr>
                <w:rFonts w:cs="Arial"/>
                <w:color w:val="000000" w:themeColor="text1"/>
                <w:szCs w:val="16"/>
              </w:rPr>
              <w:t>No Slippage</w:t>
            </w:r>
          </w:p>
        </w:tc>
      </w:tr>
    </w:tbl>
    <w:p w14:paraId="04781E6A" w14:textId="77777777" w:rsidR="0025243E" w:rsidRPr="00ED172B" w:rsidRDefault="0025243E" w:rsidP="0025243E">
      <w:pPr>
        <w:rPr>
          <w:rFonts w:cs="Arial"/>
          <w:b/>
          <w:i/>
          <w:color w:val="000000" w:themeColor="text1"/>
          <w:szCs w:val="16"/>
        </w:rPr>
      </w:pPr>
      <w:r w:rsidRPr="00ED172B">
        <w:rPr>
          <w:rFonts w:cs="Arial"/>
          <w:b/>
          <w:color w:val="000000" w:themeColor="text1"/>
          <w:szCs w:val="16"/>
        </w:rPr>
        <w:t>Provide reasons for B1 slippage, if applicable</w:t>
      </w:r>
    </w:p>
    <w:p w14:paraId="0F337099" w14:textId="77777777" w:rsidR="0025243E" w:rsidRDefault="001E39E3" w:rsidP="001E39E3">
      <w:pPr>
        <w:rPr>
          <w:color w:val="000000" w:themeColor="text1"/>
        </w:rPr>
      </w:pPr>
      <w:r w:rsidRPr="00ED172B">
        <w:rPr>
          <w:color w:val="000000" w:themeColor="text1"/>
        </w:rPr>
        <w:t>The observed slippage was primarily due to adjustments in the formula used to determine progress categories. These changes were informed by data from a pilot project launched in FFY 2024-25, in which an internal team conducted developmental check-ins as part of annual IFSP review meetings.</w:t>
      </w:r>
    </w:p>
    <w:p w14:paraId="437357E0" w14:textId="77777777" w:rsidR="007876EE" w:rsidRDefault="007876EE"/>
    <w:p w14:paraId="3AFF125A" w14:textId="77777777" w:rsidR="007876EE" w:rsidRDefault="00000000">
      <w:r>
        <w:rPr>
          <w:color w:val="000000"/>
        </w:rPr>
        <w:t>During these check-ins, the team gathered information on each child’s present levels of development from all IFSP team members, including parents, and completed a Child Outcomes Summary (COS) rating. Analysis of the pilot data helped the Lead Agency identify necessary corrections in how progress was calculated using BDI-3 data.</w:t>
      </w:r>
    </w:p>
    <w:p w14:paraId="666FE8B3" w14:textId="77777777" w:rsidR="007876EE" w:rsidRDefault="007876EE"/>
    <w:p w14:paraId="6E3F0B58" w14:textId="77777777" w:rsidR="007876EE" w:rsidRDefault="00000000">
      <w:r>
        <w:rPr>
          <w:color w:val="000000"/>
        </w:rPr>
        <w:t>As a result of these adjustments, some shifts occurred in progress categories for children exiting in FFY 2024-25 compared to the previous reporting period (FFY 2023-24).</w:t>
      </w:r>
    </w:p>
    <w:p w14:paraId="03A31387" w14:textId="77777777" w:rsidR="001A4B29" w:rsidRPr="00ED172B" w:rsidRDefault="001A4B29">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15"/>
      </w:tblPr>
      <w:tblGrid>
        <w:gridCol w:w="7227"/>
        <w:gridCol w:w="1783"/>
        <w:gridCol w:w="1780"/>
      </w:tblGrid>
      <w:tr w:rsidR="00ED172B" w:rsidRPr="00ED172B" w14:paraId="54CAB6DD" w14:textId="77777777" w:rsidTr="00986B99">
        <w:trPr>
          <w:trHeight w:val="361"/>
          <w:tblHeader/>
        </w:trPr>
        <w:tc>
          <w:tcPr>
            <w:tcW w:w="3349" w:type="pct"/>
          </w:tcPr>
          <w:p w14:paraId="2230CC88" w14:textId="77777777" w:rsidR="001A4B29" w:rsidRPr="00ED172B" w:rsidRDefault="008320B5" w:rsidP="00834FB7">
            <w:pPr>
              <w:rPr>
                <w:color w:val="000000" w:themeColor="text1"/>
                <w:szCs w:val="16"/>
              </w:rPr>
            </w:pPr>
            <w:r>
              <w:rPr>
                <w:rFonts w:cs="Arial"/>
                <w:b/>
                <w:color w:val="000000" w:themeColor="text1"/>
                <w:szCs w:val="16"/>
              </w:rPr>
              <w:t xml:space="preserve">Outcome C </w:t>
            </w:r>
            <w:r w:rsidRPr="00227D4B">
              <w:rPr>
                <w:rFonts w:cs="Arial"/>
                <w:b/>
                <w:bCs/>
                <w:color w:val="000000" w:themeColor="text1"/>
                <w:szCs w:val="16"/>
              </w:rPr>
              <w:t xml:space="preserve">Progress </w:t>
            </w:r>
            <w:r>
              <w:rPr>
                <w:rFonts w:cs="Arial"/>
                <w:b/>
                <w:bCs/>
                <w:color w:val="000000" w:themeColor="text1"/>
                <w:szCs w:val="16"/>
              </w:rPr>
              <w:t>C</w:t>
            </w:r>
            <w:r w:rsidRPr="00227D4B">
              <w:rPr>
                <w:rFonts w:cs="Arial"/>
                <w:b/>
                <w:bCs/>
                <w:color w:val="000000" w:themeColor="text1"/>
                <w:szCs w:val="16"/>
              </w:rPr>
              <w:t>ategor</w:t>
            </w:r>
            <w:r>
              <w:rPr>
                <w:rFonts w:cs="Arial"/>
                <w:b/>
                <w:bCs/>
                <w:color w:val="000000" w:themeColor="text1"/>
                <w:szCs w:val="16"/>
              </w:rPr>
              <w:t>y</w:t>
            </w:r>
          </w:p>
        </w:tc>
        <w:tc>
          <w:tcPr>
            <w:tcW w:w="826" w:type="pct"/>
            <w:vAlign w:val="center"/>
          </w:tcPr>
          <w:p w14:paraId="45233082" w14:textId="77777777" w:rsidR="001A4B29" w:rsidRPr="00ED172B" w:rsidRDefault="001A4B29" w:rsidP="00186420">
            <w:pPr>
              <w:jc w:val="center"/>
              <w:rPr>
                <w:b/>
                <w:color w:val="000000" w:themeColor="text1"/>
                <w:szCs w:val="16"/>
              </w:rPr>
            </w:pPr>
            <w:r w:rsidRPr="00ED172B">
              <w:rPr>
                <w:b/>
                <w:color w:val="000000" w:themeColor="text1"/>
                <w:szCs w:val="16"/>
              </w:rPr>
              <w:t>Number of Children</w:t>
            </w:r>
          </w:p>
        </w:tc>
        <w:tc>
          <w:tcPr>
            <w:tcW w:w="825" w:type="pct"/>
          </w:tcPr>
          <w:p w14:paraId="7208C06B" w14:textId="77777777" w:rsidR="001A4B29" w:rsidRPr="00ED172B" w:rsidRDefault="001A4B29" w:rsidP="00186420">
            <w:pPr>
              <w:jc w:val="center"/>
              <w:rPr>
                <w:b/>
                <w:color w:val="000000" w:themeColor="text1"/>
                <w:szCs w:val="16"/>
              </w:rPr>
            </w:pPr>
            <w:r w:rsidRPr="00ED172B">
              <w:rPr>
                <w:b/>
                <w:color w:val="000000" w:themeColor="text1"/>
                <w:szCs w:val="16"/>
              </w:rPr>
              <w:t>Percentage of Total</w:t>
            </w:r>
          </w:p>
        </w:tc>
      </w:tr>
      <w:tr w:rsidR="00ED172B" w:rsidRPr="00ED172B" w14:paraId="1A026D4A" w14:textId="77777777" w:rsidTr="00986B99">
        <w:trPr>
          <w:trHeight w:val="361"/>
        </w:trPr>
        <w:tc>
          <w:tcPr>
            <w:tcW w:w="3349" w:type="pct"/>
            <w:vAlign w:val="center"/>
          </w:tcPr>
          <w:p w14:paraId="7FD62EFF" w14:textId="77777777" w:rsidR="0025243E" w:rsidRPr="00ED172B" w:rsidRDefault="0025243E" w:rsidP="0025243E">
            <w:pPr>
              <w:rPr>
                <w:color w:val="000000" w:themeColor="text1"/>
                <w:szCs w:val="16"/>
              </w:rPr>
            </w:pPr>
            <w:r w:rsidRPr="00ED172B">
              <w:rPr>
                <w:color w:val="000000" w:themeColor="text1"/>
                <w:szCs w:val="16"/>
              </w:rPr>
              <w:t>a. Infants and toddlers who did not improve functioning</w:t>
            </w:r>
          </w:p>
        </w:tc>
        <w:tc>
          <w:tcPr>
            <w:tcW w:w="826" w:type="pct"/>
            <w:vAlign w:val="center"/>
          </w:tcPr>
          <w:p w14:paraId="56D5F05C" w14:textId="77777777" w:rsidR="0025243E" w:rsidRPr="00ED172B" w:rsidRDefault="00860830" w:rsidP="00186420">
            <w:pPr>
              <w:jc w:val="center"/>
              <w:rPr>
                <w:color w:val="000000" w:themeColor="text1"/>
                <w:szCs w:val="16"/>
              </w:rPr>
            </w:pPr>
            <w:r w:rsidRPr="00ED172B">
              <w:rPr>
                <w:rFonts w:cs="Arial"/>
                <w:color w:val="000000" w:themeColor="text1"/>
                <w:szCs w:val="16"/>
              </w:rPr>
              <w:t>364</w:t>
            </w:r>
          </w:p>
        </w:tc>
        <w:tc>
          <w:tcPr>
            <w:tcW w:w="825" w:type="pct"/>
            <w:vAlign w:val="center"/>
          </w:tcPr>
          <w:p w14:paraId="6872DFD9" w14:textId="77777777" w:rsidR="0025243E" w:rsidRPr="00ED172B" w:rsidRDefault="00860830" w:rsidP="00186420">
            <w:pPr>
              <w:jc w:val="center"/>
              <w:rPr>
                <w:color w:val="000000" w:themeColor="text1"/>
                <w:szCs w:val="16"/>
              </w:rPr>
            </w:pPr>
            <w:r w:rsidRPr="00ED172B">
              <w:rPr>
                <w:rFonts w:cs="Arial"/>
                <w:color w:val="000000" w:themeColor="text1"/>
                <w:szCs w:val="16"/>
              </w:rPr>
              <w:t>5.09%</w:t>
            </w:r>
          </w:p>
        </w:tc>
      </w:tr>
      <w:tr w:rsidR="00ED172B" w:rsidRPr="00ED172B" w14:paraId="0074A651" w14:textId="77777777" w:rsidTr="00986B99">
        <w:trPr>
          <w:trHeight w:val="361"/>
        </w:trPr>
        <w:tc>
          <w:tcPr>
            <w:tcW w:w="3349" w:type="pct"/>
            <w:vAlign w:val="center"/>
          </w:tcPr>
          <w:p w14:paraId="6A27611C" w14:textId="77777777" w:rsidR="0025243E" w:rsidRPr="00ED172B" w:rsidRDefault="0025243E" w:rsidP="0025243E">
            <w:pPr>
              <w:rPr>
                <w:color w:val="000000" w:themeColor="text1"/>
                <w:szCs w:val="16"/>
              </w:rPr>
            </w:pPr>
            <w:r w:rsidRPr="00ED172B">
              <w:rPr>
                <w:color w:val="000000" w:themeColor="text1"/>
                <w:szCs w:val="16"/>
              </w:rPr>
              <w:t>b. Infants and toddlers who improved functioning but not sufficient to move nearer to functioning comparable to same-aged peers</w:t>
            </w:r>
          </w:p>
        </w:tc>
        <w:tc>
          <w:tcPr>
            <w:tcW w:w="826" w:type="pct"/>
            <w:vAlign w:val="center"/>
          </w:tcPr>
          <w:p w14:paraId="03C555FA" w14:textId="77777777" w:rsidR="0025243E" w:rsidRPr="00ED172B" w:rsidRDefault="00860830" w:rsidP="00186420">
            <w:pPr>
              <w:jc w:val="center"/>
              <w:rPr>
                <w:color w:val="000000" w:themeColor="text1"/>
                <w:szCs w:val="16"/>
              </w:rPr>
            </w:pPr>
            <w:r w:rsidRPr="00ED172B">
              <w:rPr>
                <w:rFonts w:cs="Arial"/>
                <w:color w:val="000000" w:themeColor="text1"/>
                <w:szCs w:val="16"/>
              </w:rPr>
              <w:t>1,832</w:t>
            </w:r>
          </w:p>
        </w:tc>
        <w:tc>
          <w:tcPr>
            <w:tcW w:w="825" w:type="pct"/>
            <w:vAlign w:val="center"/>
          </w:tcPr>
          <w:p w14:paraId="44801363" w14:textId="77777777" w:rsidR="0025243E" w:rsidRPr="00ED172B" w:rsidRDefault="00860830" w:rsidP="00186420">
            <w:pPr>
              <w:jc w:val="center"/>
              <w:rPr>
                <w:color w:val="000000" w:themeColor="text1"/>
                <w:szCs w:val="16"/>
              </w:rPr>
            </w:pPr>
            <w:r w:rsidRPr="00ED172B">
              <w:rPr>
                <w:rFonts w:cs="Arial"/>
                <w:color w:val="000000" w:themeColor="text1"/>
                <w:szCs w:val="16"/>
              </w:rPr>
              <w:t>25.60%</w:t>
            </w:r>
          </w:p>
        </w:tc>
      </w:tr>
      <w:tr w:rsidR="00ED172B" w:rsidRPr="00ED172B" w14:paraId="56B7B085" w14:textId="77777777" w:rsidTr="00986B99">
        <w:trPr>
          <w:trHeight w:val="395"/>
        </w:trPr>
        <w:tc>
          <w:tcPr>
            <w:tcW w:w="3349" w:type="pct"/>
            <w:vAlign w:val="center"/>
          </w:tcPr>
          <w:p w14:paraId="161D33BD" w14:textId="77777777" w:rsidR="0025243E" w:rsidRPr="00ED172B" w:rsidRDefault="0025243E" w:rsidP="0025243E">
            <w:pPr>
              <w:rPr>
                <w:color w:val="000000" w:themeColor="text1"/>
                <w:szCs w:val="16"/>
              </w:rPr>
            </w:pPr>
            <w:r w:rsidRPr="00ED172B">
              <w:rPr>
                <w:color w:val="000000" w:themeColor="text1"/>
                <w:szCs w:val="16"/>
              </w:rPr>
              <w:t>c. Infants and toddlers who improved functioning to a level nearer to same-aged peers but did not reach it</w:t>
            </w:r>
          </w:p>
        </w:tc>
        <w:tc>
          <w:tcPr>
            <w:tcW w:w="826" w:type="pct"/>
            <w:vAlign w:val="center"/>
          </w:tcPr>
          <w:p w14:paraId="7956A9FB" w14:textId="77777777" w:rsidR="0025243E" w:rsidRPr="00ED172B" w:rsidRDefault="00860830" w:rsidP="00186420">
            <w:pPr>
              <w:jc w:val="center"/>
              <w:rPr>
                <w:color w:val="000000" w:themeColor="text1"/>
                <w:szCs w:val="16"/>
              </w:rPr>
            </w:pPr>
            <w:r w:rsidRPr="00ED172B">
              <w:rPr>
                <w:rFonts w:cs="Arial"/>
                <w:color w:val="000000" w:themeColor="text1"/>
                <w:szCs w:val="16"/>
              </w:rPr>
              <w:t>521</w:t>
            </w:r>
          </w:p>
        </w:tc>
        <w:tc>
          <w:tcPr>
            <w:tcW w:w="825" w:type="pct"/>
            <w:vAlign w:val="center"/>
          </w:tcPr>
          <w:p w14:paraId="0CC4031A" w14:textId="77777777" w:rsidR="0025243E" w:rsidRPr="00ED172B" w:rsidRDefault="00860830" w:rsidP="00186420">
            <w:pPr>
              <w:jc w:val="center"/>
              <w:rPr>
                <w:color w:val="000000" w:themeColor="text1"/>
                <w:szCs w:val="16"/>
              </w:rPr>
            </w:pPr>
            <w:r w:rsidRPr="00ED172B">
              <w:rPr>
                <w:rFonts w:cs="Arial"/>
                <w:color w:val="000000" w:themeColor="text1"/>
                <w:szCs w:val="16"/>
              </w:rPr>
              <w:t>7.28%</w:t>
            </w:r>
          </w:p>
        </w:tc>
      </w:tr>
      <w:tr w:rsidR="00ED172B" w:rsidRPr="00ED172B" w14:paraId="1C999D53" w14:textId="77777777" w:rsidTr="00986B99">
        <w:trPr>
          <w:trHeight w:val="361"/>
        </w:trPr>
        <w:tc>
          <w:tcPr>
            <w:tcW w:w="3349" w:type="pct"/>
            <w:vAlign w:val="center"/>
          </w:tcPr>
          <w:p w14:paraId="5FFBC15F" w14:textId="77777777" w:rsidR="0025243E" w:rsidRPr="00ED172B" w:rsidRDefault="0025243E" w:rsidP="0025243E">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vAlign w:val="center"/>
          </w:tcPr>
          <w:p w14:paraId="5836384B"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1,676</w:t>
            </w:r>
          </w:p>
        </w:tc>
        <w:tc>
          <w:tcPr>
            <w:tcW w:w="825" w:type="pct"/>
            <w:vAlign w:val="center"/>
          </w:tcPr>
          <w:p w14:paraId="331A8CD5"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23.42%</w:t>
            </w:r>
          </w:p>
        </w:tc>
      </w:tr>
      <w:tr w:rsidR="00ED172B" w:rsidRPr="00ED172B" w14:paraId="73F2B63A" w14:textId="77777777" w:rsidTr="00986B99">
        <w:trPr>
          <w:trHeight w:val="361"/>
        </w:trPr>
        <w:tc>
          <w:tcPr>
            <w:tcW w:w="3349" w:type="pct"/>
            <w:vAlign w:val="center"/>
          </w:tcPr>
          <w:p w14:paraId="4C3539BD" w14:textId="77777777" w:rsidR="0025243E" w:rsidRPr="00ED172B" w:rsidRDefault="0025243E" w:rsidP="0025243E">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vAlign w:val="center"/>
          </w:tcPr>
          <w:p w14:paraId="30F4F788"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2,762</w:t>
            </w:r>
          </w:p>
        </w:tc>
        <w:tc>
          <w:tcPr>
            <w:tcW w:w="825" w:type="pct"/>
            <w:vAlign w:val="center"/>
          </w:tcPr>
          <w:p w14:paraId="40C8D726" w14:textId="77777777" w:rsidR="0025243E" w:rsidRPr="00ED172B" w:rsidRDefault="00860830" w:rsidP="00186420">
            <w:pPr>
              <w:jc w:val="center"/>
              <w:rPr>
                <w:rFonts w:cs="Arial"/>
                <w:color w:val="000000" w:themeColor="text1"/>
                <w:szCs w:val="16"/>
              </w:rPr>
            </w:pPr>
            <w:r w:rsidRPr="00ED172B">
              <w:rPr>
                <w:rFonts w:cs="Arial"/>
                <w:color w:val="000000" w:themeColor="text1"/>
                <w:szCs w:val="16"/>
              </w:rPr>
              <w:t>38.60%</w:t>
            </w:r>
          </w:p>
        </w:tc>
      </w:tr>
    </w:tbl>
    <w:p w14:paraId="4145BEB7" w14:textId="77777777" w:rsidR="001A4B29" w:rsidRPr="00ED172B" w:rsidRDefault="001A4B29" w:rsidP="001A4B2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16"/>
      </w:tblPr>
      <w:tblGrid>
        <w:gridCol w:w="2425"/>
        <w:gridCol w:w="1170"/>
        <w:gridCol w:w="1260"/>
        <w:gridCol w:w="1350"/>
        <w:gridCol w:w="1350"/>
        <w:gridCol w:w="1260"/>
        <w:gridCol w:w="990"/>
        <w:gridCol w:w="985"/>
      </w:tblGrid>
      <w:tr w:rsidR="00ED172B" w:rsidRPr="00ED172B" w14:paraId="772E6308" w14:textId="77777777" w:rsidTr="00986B99">
        <w:trPr>
          <w:tblHeader/>
        </w:trPr>
        <w:tc>
          <w:tcPr>
            <w:tcW w:w="2425" w:type="dxa"/>
            <w:vAlign w:val="bottom"/>
          </w:tcPr>
          <w:p w14:paraId="2BB23ED5" w14:textId="77777777" w:rsidR="00037032" w:rsidRPr="00A40EE1" w:rsidRDefault="008320B5" w:rsidP="00B83404">
            <w:pPr>
              <w:rPr>
                <w:b/>
                <w:bCs/>
                <w:color w:val="000000" w:themeColor="text1"/>
              </w:rPr>
            </w:pPr>
            <w:r>
              <w:rPr>
                <w:b/>
                <w:bCs/>
                <w:color w:val="000000" w:themeColor="text1"/>
              </w:rPr>
              <w:lastRenderedPageBreak/>
              <w:t>Outcome C</w:t>
            </w:r>
          </w:p>
        </w:tc>
        <w:tc>
          <w:tcPr>
            <w:tcW w:w="1170" w:type="dxa"/>
            <w:vAlign w:val="bottom"/>
          </w:tcPr>
          <w:p w14:paraId="70214EBD"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Numerator</w:t>
            </w:r>
          </w:p>
        </w:tc>
        <w:tc>
          <w:tcPr>
            <w:tcW w:w="1260" w:type="dxa"/>
            <w:vAlign w:val="bottom"/>
          </w:tcPr>
          <w:p w14:paraId="48D68EF0"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Denominator</w:t>
            </w:r>
          </w:p>
        </w:tc>
        <w:tc>
          <w:tcPr>
            <w:tcW w:w="1350" w:type="dxa"/>
            <w:vAlign w:val="bottom"/>
          </w:tcPr>
          <w:p w14:paraId="6A3664C7" w14:textId="77777777" w:rsidR="00037032" w:rsidRPr="00ED172B" w:rsidRDefault="00CD74B5" w:rsidP="00037032">
            <w:pPr>
              <w:keepNext/>
              <w:jc w:val="center"/>
              <w:rPr>
                <w:rFonts w:cs="Arial"/>
                <w:b/>
                <w:color w:val="000000" w:themeColor="text1"/>
                <w:szCs w:val="16"/>
              </w:rPr>
            </w:pPr>
            <w:r>
              <w:rPr>
                <w:rFonts w:cs="Arial"/>
                <w:b/>
                <w:color w:val="000000" w:themeColor="text1"/>
                <w:szCs w:val="16"/>
              </w:rPr>
              <w:t>FFY 2023 Data</w:t>
            </w:r>
          </w:p>
        </w:tc>
        <w:tc>
          <w:tcPr>
            <w:tcW w:w="1350" w:type="dxa"/>
            <w:vAlign w:val="bottom"/>
          </w:tcPr>
          <w:p w14:paraId="43C50D18" w14:textId="77777777" w:rsidR="00037032" w:rsidRPr="00ED172B" w:rsidRDefault="00F22D09" w:rsidP="00037032">
            <w:pPr>
              <w:keepNext/>
              <w:jc w:val="center"/>
              <w:rPr>
                <w:rFonts w:cs="Arial"/>
                <w:b/>
                <w:color w:val="000000" w:themeColor="text1"/>
                <w:szCs w:val="16"/>
              </w:rPr>
            </w:pPr>
            <w:r>
              <w:rPr>
                <w:rFonts w:cs="Arial"/>
                <w:b/>
                <w:color w:val="000000" w:themeColor="text1"/>
                <w:szCs w:val="16"/>
              </w:rPr>
              <w:t>FFY 2024 Target</w:t>
            </w:r>
          </w:p>
        </w:tc>
        <w:tc>
          <w:tcPr>
            <w:tcW w:w="1260" w:type="dxa"/>
            <w:vAlign w:val="bottom"/>
          </w:tcPr>
          <w:p w14:paraId="799433A6" w14:textId="77777777" w:rsidR="00037032" w:rsidRPr="00ED172B" w:rsidRDefault="00F22D09" w:rsidP="00037032">
            <w:pPr>
              <w:keepNext/>
              <w:jc w:val="center"/>
              <w:rPr>
                <w:rFonts w:cs="Arial"/>
                <w:b/>
                <w:color w:val="000000" w:themeColor="text1"/>
                <w:szCs w:val="16"/>
              </w:rPr>
            </w:pPr>
            <w:r>
              <w:rPr>
                <w:rFonts w:cs="Arial"/>
                <w:b/>
                <w:color w:val="000000" w:themeColor="text1"/>
                <w:szCs w:val="16"/>
              </w:rPr>
              <w:t>FFY 2024 Data</w:t>
            </w:r>
          </w:p>
        </w:tc>
        <w:tc>
          <w:tcPr>
            <w:tcW w:w="990" w:type="dxa"/>
            <w:vAlign w:val="bottom"/>
          </w:tcPr>
          <w:p w14:paraId="458E50A7"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Status</w:t>
            </w:r>
          </w:p>
        </w:tc>
        <w:tc>
          <w:tcPr>
            <w:tcW w:w="985" w:type="dxa"/>
            <w:vAlign w:val="bottom"/>
          </w:tcPr>
          <w:p w14:paraId="7FB8FF7D" w14:textId="77777777" w:rsidR="00037032" w:rsidRPr="00ED172B" w:rsidRDefault="00037032" w:rsidP="00037032">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22E057FB" w14:textId="77777777" w:rsidTr="00986B99">
        <w:tc>
          <w:tcPr>
            <w:tcW w:w="2425" w:type="dxa"/>
          </w:tcPr>
          <w:p w14:paraId="499A173A" w14:textId="77777777" w:rsidR="008320B5" w:rsidRPr="00ED172B" w:rsidRDefault="0025243E" w:rsidP="0025243E">
            <w:pPr>
              <w:rPr>
                <w:rFonts w:cs="Arial"/>
                <w:color w:val="000000" w:themeColor="text1"/>
                <w:szCs w:val="16"/>
              </w:rPr>
            </w:pPr>
            <w:r w:rsidRPr="00ED172B">
              <w:rPr>
                <w:rFonts w:cs="Arial"/>
                <w:color w:val="000000" w:themeColor="text1"/>
                <w:szCs w:val="16"/>
              </w:rPr>
              <w:t xml:space="preserve">C1. Of those children who entered or exited the program below age expectations in Outcome C, the </w:t>
            </w:r>
            <w:proofErr w:type="gramStart"/>
            <w:r w:rsidRPr="00ED172B">
              <w:rPr>
                <w:rFonts w:cs="Arial"/>
                <w:color w:val="000000" w:themeColor="text1"/>
                <w:szCs w:val="16"/>
              </w:rPr>
              <w:t>percent</w:t>
            </w:r>
            <w:proofErr w:type="gramEnd"/>
            <w:r w:rsidRPr="00ED172B">
              <w:rPr>
                <w:rFonts w:cs="Arial"/>
                <w:color w:val="000000" w:themeColor="text1"/>
                <w:szCs w:val="16"/>
              </w:rPr>
              <w:t xml:space="preserve"> who substantially increased their rate of growth by the time they turned 3 years of age or exited the program</w:t>
            </w:r>
          </w:p>
        </w:tc>
        <w:tc>
          <w:tcPr>
            <w:tcW w:w="1170" w:type="dxa"/>
            <w:vAlign w:val="center"/>
          </w:tcPr>
          <w:p w14:paraId="3779E682"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2,197</w:t>
            </w:r>
          </w:p>
        </w:tc>
        <w:tc>
          <w:tcPr>
            <w:tcW w:w="1260" w:type="dxa"/>
            <w:vAlign w:val="center"/>
          </w:tcPr>
          <w:p w14:paraId="5A8CEC48"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4,393</w:t>
            </w:r>
          </w:p>
        </w:tc>
        <w:tc>
          <w:tcPr>
            <w:tcW w:w="1350" w:type="dxa"/>
            <w:vAlign w:val="center"/>
          </w:tcPr>
          <w:p w14:paraId="6B5164F0"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63.11%</w:t>
            </w:r>
          </w:p>
        </w:tc>
        <w:tc>
          <w:tcPr>
            <w:tcW w:w="1350" w:type="dxa"/>
            <w:vAlign w:val="center"/>
          </w:tcPr>
          <w:p w14:paraId="2C9A42C6" w14:textId="77777777" w:rsidR="0025243E" w:rsidRPr="00ED172B" w:rsidRDefault="005C14C2" w:rsidP="00027F39">
            <w:pPr>
              <w:jc w:val="center"/>
              <w:rPr>
                <w:color w:val="000000" w:themeColor="text1"/>
              </w:rPr>
            </w:pPr>
            <w:r w:rsidRPr="00ED172B">
              <w:rPr>
                <w:color w:val="000000" w:themeColor="text1"/>
              </w:rPr>
              <w:t>67.50%</w:t>
            </w:r>
          </w:p>
        </w:tc>
        <w:tc>
          <w:tcPr>
            <w:tcW w:w="1260" w:type="dxa"/>
            <w:vAlign w:val="center"/>
          </w:tcPr>
          <w:p w14:paraId="35007BE0"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50.01%</w:t>
            </w:r>
          </w:p>
        </w:tc>
        <w:tc>
          <w:tcPr>
            <w:tcW w:w="990" w:type="dxa"/>
            <w:vAlign w:val="center"/>
          </w:tcPr>
          <w:p w14:paraId="6E9D00F6"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Did not meet target</w:t>
            </w:r>
          </w:p>
        </w:tc>
        <w:tc>
          <w:tcPr>
            <w:tcW w:w="985" w:type="dxa"/>
            <w:vAlign w:val="center"/>
          </w:tcPr>
          <w:p w14:paraId="183ACD3D"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Slippage</w:t>
            </w:r>
          </w:p>
        </w:tc>
      </w:tr>
      <w:tr w:rsidR="00ED172B" w:rsidRPr="00ED172B" w14:paraId="5BEBC2DB" w14:textId="77777777" w:rsidTr="00986B99">
        <w:tc>
          <w:tcPr>
            <w:tcW w:w="2425" w:type="dxa"/>
          </w:tcPr>
          <w:p w14:paraId="139C0237" w14:textId="77777777" w:rsidR="008320B5" w:rsidRPr="00ED172B" w:rsidRDefault="0025243E" w:rsidP="0025243E">
            <w:pPr>
              <w:rPr>
                <w:rFonts w:cs="Arial"/>
                <w:color w:val="000000" w:themeColor="text1"/>
                <w:szCs w:val="16"/>
              </w:rPr>
            </w:pPr>
            <w:r w:rsidRPr="00ED172B">
              <w:rPr>
                <w:rFonts w:cs="Arial"/>
                <w:color w:val="000000" w:themeColor="text1"/>
                <w:szCs w:val="16"/>
              </w:rPr>
              <w:t xml:space="preserve">C2. The </w:t>
            </w:r>
            <w:proofErr w:type="gramStart"/>
            <w:r w:rsidRPr="00ED172B">
              <w:rPr>
                <w:rFonts w:cs="Arial"/>
                <w:color w:val="000000" w:themeColor="text1"/>
                <w:szCs w:val="16"/>
              </w:rPr>
              <w:t>percent</w:t>
            </w:r>
            <w:proofErr w:type="gramEnd"/>
            <w:r w:rsidRPr="00ED172B">
              <w:rPr>
                <w:rFonts w:cs="Arial"/>
                <w:color w:val="000000" w:themeColor="text1"/>
                <w:szCs w:val="16"/>
              </w:rPr>
              <w:t xml:space="preserve"> of infants and toddlers who were functioning within age expectations in Outcome C by the time they turned 3 years of age or exited the program</w:t>
            </w:r>
          </w:p>
        </w:tc>
        <w:tc>
          <w:tcPr>
            <w:tcW w:w="1170" w:type="dxa"/>
            <w:vAlign w:val="center"/>
          </w:tcPr>
          <w:p w14:paraId="630DBD23"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4,438</w:t>
            </w:r>
          </w:p>
        </w:tc>
        <w:tc>
          <w:tcPr>
            <w:tcW w:w="1260" w:type="dxa"/>
            <w:vAlign w:val="center"/>
          </w:tcPr>
          <w:p w14:paraId="211DDAA8" w14:textId="77777777" w:rsidR="0025243E" w:rsidRPr="00ED172B" w:rsidRDefault="00860830" w:rsidP="0025243E">
            <w:pPr>
              <w:pStyle w:val="Explain"/>
              <w:jc w:val="center"/>
              <w:rPr>
                <w:rFonts w:cs="Arial"/>
                <w:color w:val="000000" w:themeColor="text1"/>
                <w:szCs w:val="16"/>
              </w:rPr>
            </w:pPr>
            <w:r w:rsidRPr="00ED172B">
              <w:rPr>
                <w:rFonts w:cs="Arial"/>
                <w:color w:val="000000" w:themeColor="text1"/>
                <w:szCs w:val="16"/>
              </w:rPr>
              <w:t>7,155</w:t>
            </w:r>
          </w:p>
        </w:tc>
        <w:tc>
          <w:tcPr>
            <w:tcW w:w="1350" w:type="dxa"/>
            <w:vAlign w:val="center"/>
          </w:tcPr>
          <w:p w14:paraId="115A2AF0"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66.90%</w:t>
            </w:r>
          </w:p>
        </w:tc>
        <w:tc>
          <w:tcPr>
            <w:tcW w:w="1350" w:type="dxa"/>
            <w:vAlign w:val="center"/>
          </w:tcPr>
          <w:p w14:paraId="4B2DECBD" w14:textId="77777777" w:rsidR="0025243E" w:rsidRPr="00ED172B" w:rsidRDefault="005C14C2" w:rsidP="005C14C2">
            <w:pPr>
              <w:jc w:val="center"/>
              <w:rPr>
                <w:color w:val="000000" w:themeColor="text1"/>
              </w:rPr>
            </w:pPr>
            <w:r w:rsidRPr="00ED172B">
              <w:rPr>
                <w:color w:val="000000" w:themeColor="text1"/>
              </w:rPr>
              <w:t>53.00%</w:t>
            </w:r>
          </w:p>
        </w:tc>
        <w:tc>
          <w:tcPr>
            <w:tcW w:w="1260" w:type="dxa"/>
            <w:vAlign w:val="center"/>
          </w:tcPr>
          <w:p w14:paraId="3BDFE74D"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62.03%</w:t>
            </w:r>
          </w:p>
        </w:tc>
        <w:tc>
          <w:tcPr>
            <w:tcW w:w="990" w:type="dxa"/>
            <w:vAlign w:val="center"/>
          </w:tcPr>
          <w:p w14:paraId="17B94A3E"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Met target</w:t>
            </w:r>
          </w:p>
        </w:tc>
        <w:tc>
          <w:tcPr>
            <w:tcW w:w="985" w:type="dxa"/>
            <w:vAlign w:val="center"/>
          </w:tcPr>
          <w:p w14:paraId="3A61FB20" w14:textId="77777777" w:rsidR="0025243E" w:rsidRPr="00ED172B" w:rsidRDefault="00860830" w:rsidP="0025243E">
            <w:pPr>
              <w:jc w:val="center"/>
              <w:rPr>
                <w:rFonts w:cs="Arial"/>
                <w:color w:val="000000" w:themeColor="text1"/>
                <w:szCs w:val="16"/>
              </w:rPr>
            </w:pPr>
            <w:r w:rsidRPr="00ED172B">
              <w:rPr>
                <w:rFonts w:cs="Arial"/>
                <w:color w:val="000000" w:themeColor="text1"/>
                <w:szCs w:val="16"/>
              </w:rPr>
              <w:t>No Slippage</w:t>
            </w:r>
          </w:p>
        </w:tc>
      </w:tr>
    </w:tbl>
    <w:p w14:paraId="7E9F294A" w14:textId="77777777" w:rsidR="0025243E" w:rsidRPr="00ED172B" w:rsidRDefault="0025243E" w:rsidP="0025243E">
      <w:pPr>
        <w:rPr>
          <w:rFonts w:cs="Arial"/>
          <w:b/>
          <w:i/>
          <w:color w:val="000000" w:themeColor="text1"/>
          <w:szCs w:val="16"/>
        </w:rPr>
      </w:pPr>
      <w:r w:rsidRPr="00ED172B">
        <w:rPr>
          <w:rFonts w:cs="Arial"/>
          <w:b/>
          <w:color w:val="000000" w:themeColor="text1"/>
          <w:szCs w:val="16"/>
        </w:rPr>
        <w:t xml:space="preserve">Provide reasons for C1 slippage, if applicable </w:t>
      </w:r>
    </w:p>
    <w:p w14:paraId="3B000501" w14:textId="77777777" w:rsidR="0025243E" w:rsidRDefault="005C14C2" w:rsidP="005C14C2">
      <w:pPr>
        <w:rPr>
          <w:color w:val="000000" w:themeColor="text1"/>
        </w:rPr>
      </w:pPr>
      <w:r w:rsidRPr="00ED172B">
        <w:rPr>
          <w:color w:val="000000" w:themeColor="text1"/>
        </w:rPr>
        <w:t>The observed slippage was primarily due to adjustments in the formula used to determine progress categories. These changes were informed by data from a pilot project launched in FFY 2024-25, in which an internal team conducted developmental check-ins as part of annual IFSP review meetings.</w:t>
      </w:r>
    </w:p>
    <w:p w14:paraId="0ACCBA6D" w14:textId="77777777" w:rsidR="007876EE" w:rsidRDefault="007876EE"/>
    <w:p w14:paraId="6B18B0E0" w14:textId="77777777" w:rsidR="007876EE" w:rsidRDefault="00000000">
      <w:r>
        <w:rPr>
          <w:color w:val="000000"/>
        </w:rPr>
        <w:t>During these check-ins, the team gathered information on each child’s present levels of development from all IFSP team members, including parents, and completed a Child Outcomes Summary (COS) rating. Analysis of the pilot data helped the Lead Agency identify necessary corrections in how progress was calculated using BDI-3 data.</w:t>
      </w:r>
    </w:p>
    <w:p w14:paraId="2D4673F1" w14:textId="77777777" w:rsidR="007876EE" w:rsidRDefault="007876EE"/>
    <w:p w14:paraId="02DAB40E" w14:textId="77777777" w:rsidR="007876EE" w:rsidRDefault="00000000">
      <w:r>
        <w:rPr>
          <w:color w:val="000000"/>
        </w:rPr>
        <w:t>As a result of these adjustments, some shifts occurred in progress categories for children exiting in FFY 2024-25 compared to the previous reporting period (FFY 2023-24).</w:t>
      </w:r>
    </w:p>
    <w:p w14:paraId="1B3A25D9" w14:textId="77777777" w:rsidR="000E5D05" w:rsidRPr="00ED172B" w:rsidRDefault="000E5D05" w:rsidP="00986B99">
      <w:pPr>
        <w:rPr>
          <w:rFonts w:cs="Arial"/>
          <w:color w:val="000000" w:themeColor="text1"/>
          <w:szCs w:val="16"/>
        </w:rPr>
      </w:pPr>
    </w:p>
    <w:p w14:paraId="20CAC87C" w14:textId="77777777" w:rsidR="000E5D05" w:rsidRPr="000E5D05" w:rsidRDefault="000E5D05" w:rsidP="000E5D05">
      <w:pPr>
        <w:rPr>
          <w:b/>
          <w:color w:val="000000" w:themeColor="text1"/>
        </w:rPr>
      </w:pPr>
      <w:r w:rsidRPr="000E5D05" w:rsidDel="00F32724">
        <w:rPr>
          <w:b/>
          <w:color w:val="000000" w:themeColor="text1"/>
        </w:rPr>
        <w:t>FFY 2024 SPP/APR Data</w:t>
      </w:r>
    </w:p>
    <w:p w14:paraId="1E79EE94"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9175"/>
        <w:gridCol w:w="1615"/>
      </w:tblGrid>
      <w:tr w:rsidR="000E5D05" w:rsidRPr="000E5D05" w14:paraId="632978F2" w14:textId="77777777">
        <w:trPr>
          <w:tblHeader/>
        </w:trPr>
        <w:tc>
          <w:tcPr>
            <w:tcW w:w="9175" w:type="dxa"/>
          </w:tcPr>
          <w:p w14:paraId="46C259B7" w14:textId="77777777" w:rsidR="000E5D05" w:rsidRPr="000E5D05" w:rsidRDefault="000E5D05">
            <w:pPr>
              <w:rPr>
                <w:rFonts w:cs="Arial"/>
                <w:b/>
                <w:bCs/>
                <w:color w:val="000000" w:themeColor="text1"/>
                <w:szCs w:val="16"/>
              </w:rPr>
            </w:pPr>
            <w:r w:rsidRPr="000E5D05">
              <w:rPr>
                <w:rFonts w:cs="Arial"/>
                <w:b/>
                <w:bCs/>
                <w:color w:val="000000" w:themeColor="text1"/>
                <w:szCs w:val="16"/>
              </w:rPr>
              <w:t>Question</w:t>
            </w:r>
          </w:p>
        </w:tc>
        <w:tc>
          <w:tcPr>
            <w:tcW w:w="1615" w:type="dxa"/>
          </w:tcPr>
          <w:p w14:paraId="28F892EE" w14:textId="77777777" w:rsidR="000E5D05" w:rsidRPr="000E5D05" w:rsidRDefault="000E5D05">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76AAE150" w14:textId="77777777">
        <w:tc>
          <w:tcPr>
            <w:tcW w:w="9175" w:type="dxa"/>
          </w:tcPr>
          <w:p w14:paraId="4911B681" w14:textId="77777777" w:rsidR="000E5D05" w:rsidRPr="000E5D05" w:rsidRDefault="000E5D05">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tcPr>
          <w:p w14:paraId="47933D7E" w14:textId="77777777" w:rsidR="000E5D05" w:rsidRPr="000E5D05" w:rsidRDefault="000E5D05">
            <w:pPr>
              <w:jc w:val="center"/>
              <w:rPr>
                <w:rFonts w:cs="Arial"/>
                <w:color w:val="000000" w:themeColor="text1"/>
                <w:szCs w:val="16"/>
              </w:rPr>
            </w:pPr>
            <w:r w:rsidRPr="000E5D05">
              <w:rPr>
                <w:rFonts w:cs="Arial"/>
                <w:color w:val="000000" w:themeColor="text1"/>
                <w:szCs w:val="16"/>
              </w:rPr>
              <w:t>9,387</w:t>
            </w:r>
          </w:p>
        </w:tc>
      </w:tr>
      <w:tr w:rsidR="000E5D05" w:rsidRPr="000E5D05" w14:paraId="626D517C" w14:textId="77777777">
        <w:tc>
          <w:tcPr>
            <w:tcW w:w="9175" w:type="dxa"/>
          </w:tcPr>
          <w:p w14:paraId="1492B266" w14:textId="77777777" w:rsidR="000E5D05" w:rsidRPr="000E5D05" w:rsidRDefault="000E5D05">
            <w:pPr>
              <w:rPr>
                <w:rFonts w:cs="Arial"/>
                <w:color w:val="000000" w:themeColor="text1"/>
                <w:szCs w:val="16"/>
              </w:rPr>
            </w:pPr>
            <w:r w:rsidRPr="000E5D05">
              <w:rPr>
                <w:rFonts w:cs="Arial"/>
                <w:color w:val="000000" w:themeColor="text1"/>
                <w:szCs w:val="16"/>
              </w:rPr>
              <w:t xml:space="preserve">The number of </w:t>
            </w:r>
            <w:proofErr w:type="gramStart"/>
            <w:r w:rsidRPr="000E5D05">
              <w:rPr>
                <w:rFonts w:cs="Arial"/>
                <w:color w:val="000000" w:themeColor="text1"/>
                <w:szCs w:val="16"/>
              </w:rPr>
              <w:t>those infants</w:t>
            </w:r>
            <w:proofErr w:type="gramEnd"/>
            <w:r w:rsidRPr="000E5D05">
              <w:rPr>
                <w:rFonts w:cs="Arial"/>
                <w:color w:val="000000" w:themeColor="text1"/>
                <w:szCs w:val="16"/>
              </w:rPr>
              <w:t xml:space="preserve"> and toddlers who did not receive early intervention services for at least six months before exiting the Part C program.</w:t>
            </w:r>
          </w:p>
        </w:tc>
        <w:tc>
          <w:tcPr>
            <w:tcW w:w="1615" w:type="dxa"/>
          </w:tcPr>
          <w:p w14:paraId="5AD2C21A" w14:textId="77777777" w:rsidR="000E5D05" w:rsidRPr="000E5D05" w:rsidRDefault="000E5D05">
            <w:pPr>
              <w:jc w:val="center"/>
              <w:rPr>
                <w:rFonts w:cs="Arial"/>
                <w:color w:val="000000" w:themeColor="text1"/>
                <w:szCs w:val="16"/>
              </w:rPr>
            </w:pPr>
            <w:r w:rsidRPr="000E5D05">
              <w:rPr>
                <w:rFonts w:cs="Arial"/>
                <w:color w:val="000000" w:themeColor="text1"/>
                <w:szCs w:val="16"/>
              </w:rPr>
              <w:t>2,061</w:t>
            </w:r>
          </w:p>
        </w:tc>
      </w:tr>
      <w:tr w:rsidR="000E5D05" w:rsidRPr="00ED172B" w14:paraId="63849385" w14:textId="77777777">
        <w:tc>
          <w:tcPr>
            <w:tcW w:w="9175" w:type="dxa"/>
          </w:tcPr>
          <w:p w14:paraId="16DBED6C" w14:textId="77777777" w:rsidR="000E5D05" w:rsidRPr="000E5D05" w:rsidRDefault="000E5D05">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0E3006E1" w14:textId="77777777" w:rsidR="000E5D05" w:rsidRPr="006B424E" w:rsidRDefault="000E5D05">
            <w:pPr>
              <w:rPr>
                <w:b/>
                <w:color w:val="000000" w:themeColor="text1"/>
              </w:rPr>
            </w:pPr>
            <w:r w:rsidRPr="000E5D05">
              <w:rPr>
                <w:color w:val="000000" w:themeColor="text1"/>
              </w:rPr>
              <w:t>7,155</w:t>
            </w:r>
          </w:p>
        </w:tc>
      </w:tr>
    </w:tbl>
    <w:p w14:paraId="701C2E7A" w14:textId="77777777"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2BDD756E" w14:textId="77777777" w:rsidTr="00A40EE1">
        <w:trPr>
          <w:tblHeader/>
        </w:trPr>
        <w:tc>
          <w:tcPr>
            <w:tcW w:w="3851" w:type="pct"/>
            <w:tcBorders>
              <w:top w:val="single" w:sz="4" w:space="0" w:color="auto"/>
              <w:left w:val="single" w:sz="4" w:space="0" w:color="auto"/>
            </w:tcBorders>
          </w:tcPr>
          <w:p w14:paraId="0430045F" w14:textId="77777777"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41246257"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17923922" w14:textId="77777777" w:rsidTr="000D7858">
        <w:tc>
          <w:tcPr>
            <w:tcW w:w="3851" w:type="pct"/>
          </w:tcPr>
          <w:p w14:paraId="69EEBDEC"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06F8F316" w14:textId="77777777"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5FA69249" w14:textId="77777777"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1446D88F" w14:textId="77777777" w:rsidR="002451A6" w:rsidRDefault="005C14C2" w:rsidP="005C14C2">
      <w:pPr>
        <w:rPr>
          <w:color w:val="000000" w:themeColor="text1"/>
        </w:rPr>
      </w:pPr>
      <w:r w:rsidRPr="00ED172B">
        <w:rPr>
          <w:color w:val="000000" w:themeColor="text1"/>
        </w:rPr>
        <w:t>NO</w:t>
      </w:r>
    </w:p>
    <w:p w14:paraId="7CEE97D9" w14:textId="77777777"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68445EFC" w14:textId="77777777" w:rsidR="00F20E73" w:rsidRDefault="00860830" w:rsidP="00F20E73">
      <w:pPr>
        <w:rPr>
          <w:rFonts w:cs="Arial"/>
          <w:color w:val="000000" w:themeColor="text1"/>
          <w:szCs w:val="16"/>
        </w:rPr>
      </w:pPr>
      <w:r w:rsidRPr="00ED172B">
        <w:rPr>
          <w:rFonts w:cs="Arial"/>
          <w:color w:val="000000" w:themeColor="text1"/>
          <w:szCs w:val="16"/>
        </w:rPr>
        <w:t>In FFY 2024-25, TEIS primarily relied on developmental assessment instruments to provide data for Early Childhood Outcomes (ECO) reporting. Child Outcomes Summary (COS) ratings were used to report the data; however, these ratings were generally derived from developmental instruments.</w:t>
      </w:r>
    </w:p>
    <w:p w14:paraId="21FCCCD4" w14:textId="77777777" w:rsidR="007876EE" w:rsidRDefault="007876EE"/>
    <w:p w14:paraId="7A4AAE57" w14:textId="77777777" w:rsidR="007876EE" w:rsidRDefault="00000000">
      <w:r>
        <w:rPr>
          <w:color w:val="000000"/>
        </w:rPr>
        <w:t xml:space="preserve">Transition to New Assessment Instruments: </w:t>
      </w:r>
    </w:p>
    <w:p w14:paraId="1E0F2AD5" w14:textId="77777777" w:rsidR="007876EE" w:rsidRDefault="00000000">
      <w:r>
        <w:rPr>
          <w:color w:val="000000"/>
        </w:rPr>
        <w:t>In FFY 2022-23, TEIS began transitioning from the Assessment, Evaluation, and Programming System (AEPS), 2nd Edition to the Battelle Developmental Inventory, 3rd Edition (BDI-3) for ongoing assessment and ECO reporting. The BDI-3 also replaced the BDI-2 for initial eligibility evaluations.</w:t>
      </w:r>
    </w:p>
    <w:p w14:paraId="46EADE28" w14:textId="77777777" w:rsidR="007876EE" w:rsidRDefault="007876EE"/>
    <w:p w14:paraId="3B5987E3" w14:textId="77777777" w:rsidR="007876EE" w:rsidRDefault="00000000">
      <w:r>
        <w:rPr>
          <w:color w:val="000000"/>
        </w:rPr>
        <w:t xml:space="preserve">Data Included in 2024-25 Reporting: </w:t>
      </w:r>
    </w:p>
    <w:p w14:paraId="74BEE3C2" w14:textId="77777777" w:rsidR="007876EE" w:rsidRDefault="00000000">
      <w:r>
        <w:rPr>
          <w:color w:val="000000"/>
        </w:rPr>
        <w:t xml:space="preserve">The 2024-25 ECO data </w:t>
      </w:r>
      <w:proofErr w:type="gramStart"/>
      <w:r>
        <w:rPr>
          <w:color w:val="000000"/>
        </w:rPr>
        <w:t>includes</w:t>
      </w:r>
      <w:proofErr w:type="gramEnd"/>
      <w:r>
        <w:rPr>
          <w:color w:val="000000"/>
        </w:rPr>
        <w:t xml:space="preserve"> children whose initial assessments were completed using AEPS, BDI-2, or BDI-3.</w:t>
      </w:r>
    </w:p>
    <w:p w14:paraId="5A347094" w14:textId="77777777" w:rsidR="007876EE" w:rsidRDefault="007876EE"/>
    <w:p w14:paraId="28CFB535" w14:textId="77777777" w:rsidR="007876EE" w:rsidRDefault="00000000">
      <w:r>
        <w:rPr>
          <w:color w:val="000000"/>
        </w:rPr>
        <w:t>Entrance ratings from these instruments were converted to a 1–7 COS scale.</w:t>
      </w:r>
    </w:p>
    <w:p w14:paraId="43678B1E" w14:textId="77777777" w:rsidR="007876EE" w:rsidRDefault="00000000">
      <w:r>
        <w:rPr>
          <w:color w:val="000000"/>
        </w:rPr>
        <w:t>Exit ratings were collected using the BDI-3, converted to the same scale, and compared to entrance scores using the methodology described below.</w:t>
      </w:r>
    </w:p>
    <w:p w14:paraId="7650E812" w14:textId="77777777" w:rsidR="007876EE" w:rsidRDefault="007876EE"/>
    <w:p w14:paraId="18E3E324" w14:textId="77777777" w:rsidR="007876EE" w:rsidRDefault="00000000">
      <w:r>
        <w:rPr>
          <w:color w:val="000000"/>
        </w:rPr>
        <w:t>Domains used for outcomes:</w:t>
      </w:r>
    </w:p>
    <w:p w14:paraId="798DA56E" w14:textId="77777777" w:rsidR="007876EE" w:rsidRDefault="00000000">
      <w:r>
        <w:rPr>
          <w:color w:val="000000"/>
        </w:rPr>
        <w:t>-Outcome A: Social-emotional</w:t>
      </w:r>
    </w:p>
    <w:p w14:paraId="4A10667F" w14:textId="77777777" w:rsidR="007876EE" w:rsidRDefault="00000000">
      <w:r>
        <w:rPr>
          <w:color w:val="000000"/>
        </w:rPr>
        <w:t>-Outcome B: Communication and cognition</w:t>
      </w:r>
    </w:p>
    <w:p w14:paraId="7238E196" w14:textId="77777777" w:rsidR="007876EE" w:rsidRDefault="00000000">
      <w:r>
        <w:rPr>
          <w:color w:val="000000"/>
        </w:rPr>
        <w:t>-Outcome C: Adaptive and motor</w:t>
      </w:r>
    </w:p>
    <w:p w14:paraId="0B333454" w14:textId="77777777" w:rsidR="007876EE" w:rsidRDefault="007876EE"/>
    <w:p w14:paraId="466B1F4E" w14:textId="77777777" w:rsidR="007876EE" w:rsidRDefault="00000000">
      <w:r>
        <w:rPr>
          <w:color w:val="000000"/>
        </w:rPr>
        <w:lastRenderedPageBreak/>
        <w:t>Pilot Process for Developmental Check-Ins:</w:t>
      </w:r>
    </w:p>
    <w:p w14:paraId="169CD44C" w14:textId="77777777" w:rsidR="007876EE" w:rsidRDefault="00000000">
      <w:r>
        <w:rPr>
          <w:color w:val="000000"/>
        </w:rPr>
        <w:t>Beginning in FFY 2024-25, TEIS piloted an internal process for conducting developmental check-ins during annual IFSP development. This pilot incorporated the traditional COS process. For children included in the pilot and the ECO reporting, COS data from these check-ins supported exit ECO scores.</w:t>
      </w:r>
    </w:p>
    <w:p w14:paraId="19891CBC" w14:textId="77777777" w:rsidR="007876EE" w:rsidRDefault="007876EE"/>
    <w:p w14:paraId="3C2029D2" w14:textId="77777777" w:rsidR="007876EE" w:rsidRDefault="00000000">
      <w:r>
        <w:rPr>
          <w:color w:val="000000"/>
        </w:rPr>
        <w:t>Crosswalk and Progress Calculation:</w:t>
      </w:r>
    </w:p>
    <w:p w14:paraId="38F128BE" w14:textId="77777777" w:rsidR="007876EE" w:rsidRDefault="00000000">
      <w:r>
        <w:rPr>
          <w:color w:val="000000"/>
        </w:rPr>
        <w:t>A crosswalk was developed to align BDI-3 data with COS ratings based on standard deviations (z-scores).</w:t>
      </w:r>
    </w:p>
    <w:p w14:paraId="16B4D77E" w14:textId="77777777" w:rsidR="007876EE" w:rsidRDefault="007876EE"/>
    <w:p w14:paraId="32BBC7C7" w14:textId="77777777" w:rsidR="007876EE" w:rsidRDefault="00000000">
      <w:r>
        <w:rPr>
          <w:color w:val="000000"/>
        </w:rPr>
        <w:t>-Children scoring –1.3 SD or higher in the relevant domain(s) were considered “comparable to same-aged peers.”</w:t>
      </w:r>
    </w:p>
    <w:p w14:paraId="68EBF050" w14:textId="77777777" w:rsidR="007876EE" w:rsidRDefault="00000000">
      <w:r>
        <w:rPr>
          <w:color w:val="000000"/>
        </w:rPr>
        <w:t>-Based on pilot data, the state reviewed and adjusted its formula for determining progress from BDI-3 scores.</w:t>
      </w:r>
    </w:p>
    <w:p w14:paraId="3E6F10CB" w14:textId="77777777" w:rsidR="007876EE" w:rsidRDefault="00000000">
      <w:r>
        <w:rPr>
          <w:color w:val="000000"/>
        </w:rPr>
        <w:t>-This adjustment resulted in some shifts in progress categories compared to the 2023-24 reporting period.</w:t>
      </w:r>
    </w:p>
    <w:p w14:paraId="45E40C85"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58C11CD0" w14:textId="77777777" w:rsidR="00F20E73" w:rsidRPr="00ED172B" w:rsidRDefault="00860830" w:rsidP="00F20E73">
      <w:pPr>
        <w:rPr>
          <w:rFonts w:cs="Arial"/>
          <w:color w:val="000000" w:themeColor="text1"/>
          <w:szCs w:val="16"/>
        </w:rPr>
      </w:pPr>
      <w:r w:rsidRPr="00ED172B">
        <w:rPr>
          <w:rFonts w:cs="Arial"/>
          <w:color w:val="000000" w:themeColor="text1"/>
          <w:szCs w:val="16"/>
        </w:rPr>
        <w:t>Assessment Instruments and ECO Data Collection</w:t>
      </w:r>
    </w:p>
    <w:p w14:paraId="037B30E2" w14:textId="77777777" w:rsidR="007876EE" w:rsidRDefault="00000000">
      <w:r>
        <w:rPr>
          <w:color w:val="000000"/>
        </w:rPr>
        <w:t>In FFY 2024-25, TEIS primarily used the Battelle Developmental Inventory, 3rd Edition (BDI-3) for eligibility determination, ongoing assessment, and Early Childhood Outcomes (ECO) data collection. Additional instruments included in the 2024-25 dataset were the Assessment, Evaluation, and Programming System (AEPS), 2nd Edition and the Battelle Developmental Inventory, 2nd Edition Normative Update (BDI-2 NU). These other instruments (AEPS and BDI-2) were used prior to FFY 2022-23; however, due to the TEIS Ext</w:t>
      </w:r>
      <w:r>
        <w:rPr>
          <w:color w:val="000000"/>
        </w:rPr>
        <w:t>ended Option—which allows eligible children to remain in Part C services until they start school following their fifth birthday—some children continued in the program with entrance scores from these earlier tools.</w:t>
      </w:r>
    </w:p>
    <w:p w14:paraId="280EEEFF" w14:textId="77777777" w:rsidR="007876EE" w:rsidRDefault="007876EE"/>
    <w:p w14:paraId="5FF37C82" w14:textId="77777777" w:rsidR="007876EE" w:rsidRDefault="00000000">
      <w:r>
        <w:rPr>
          <w:color w:val="000000"/>
        </w:rPr>
        <w:t xml:space="preserve">Pilot Process for Developmental </w:t>
      </w:r>
      <w:proofErr w:type="gramStart"/>
      <w:r>
        <w:rPr>
          <w:color w:val="000000"/>
        </w:rPr>
        <w:t>Check-Ins</w:t>
      </w:r>
      <w:proofErr w:type="gramEnd"/>
    </w:p>
    <w:p w14:paraId="1AFC7932" w14:textId="77777777" w:rsidR="007876EE" w:rsidRDefault="00000000">
      <w:r>
        <w:rPr>
          <w:color w:val="000000"/>
        </w:rPr>
        <w:t>Beginning in FFY 2024-25, TEIS piloted a new process using an internal team to conduct developmental check-ins during annual IFSP development. This pilot incorporated the traditional Child Outcomes Summary (COS) process for ECO data collection and included gathering present levels of development from all IFSP team members. For children who participated in the pilot and were included in the 2024-25 ECO reporting, COS data from these developmental check-ins was used to support exit ECO scores.</w:t>
      </w:r>
    </w:p>
    <w:p w14:paraId="62C23134" w14:textId="77777777" w:rsidR="003A3693" w:rsidRPr="00ED172B" w:rsidRDefault="003A3693" w:rsidP="006935F4">
      <w:pPr>
        <w:rPr>
          <w:b/>
          <w:color w:val="000000" w:themeColor="text1"/>
        </w:rPr>
      </w:pPr>
      <w:bookmarkStart w:id="15" w:name="_Toc382082362"/>
      <w:bookmarkStart w:id="16" w:name="_Toc392159270"/>
      <w:r w:rsidRPr="00ED172B">
        <w:rPr>
          <w:b/>
          <w:color w:val="000000" w:themeColor="text1"/>
        </w:rPr>
        <w:t>Provide additional information about this indicator (optional).</w:t>
      </w:r>
    </w:p>
    <w:p w14:paraId="4EE68104" w14:textId="77777777" w:rsidR="003A3693" w:rsidRPr="00ED172B" w:rsidRDefault="003A3693" w:rsidP="003A3693">
      <w:pPr>
        <w:rPr>
          <w:rFonts w:cs="Arial"/>
          <w:color w:val="000000" w:themeColor="text1"/>
          <w:szCs w:val="16"/>
        </w:rPr>
      </w:pPr>
    </w:p>
    <w:p w14:paraId="7BF04A38" w14:textId="77777777" w:rsidR="00DC0682" w:rsidRPr="00A40EE1" w:rsidRDefault="000D0117" w:rsidP="005C3FFD">
      <w:pPr>
        <w:pStyle w:val="Heading2"/>
      </w:pPr>
      <w:r w:rsidRPr="00A40EE1">
        <w:t xml:space="preserve">3 - </w:t>
      </w:r>
      <w:r w:rsidR="00DC0682" w:rsidRPr="00A40EE1">
        <w:t>Prior FFY Required Actions</w:t>
      </w:r>
    </w:p>
    <w:p w14:paraId="4C5C4965" w14:textId="77777777" w:rsidR="004C1CEE" w:rsidRPr="00ED172B" w:rsidRDefault="00291EA9" w:rsidP="00291EA9">
      <w:pPr>
        <w:rPr>
          <w:color w:val="000000" w:themeColor="text1"/>
        </w:rPr>
      </w:pPr>
      <w:r w:rsidRPr="00ED172B">
        <w:rPr>
          <w:color w:val="000000" w:themeColor="text1"/>
        </w:rPr>
        <w:t>None</w:t>
      </w:r>
    </w:p>
    <w:p w14:paraId="0B7875B2" w14:textId="77777777" w:rsidR="004C1CEE" w:rsidRPr="00ED172B" w:rsidRDefault="004C1CEE" w:rsidP="00DC0682">
      <w:pPr>
        <w:rPr>
          <w:rFonts w:cs="Arial"/>
          <w:color w:val="000000" w:themeColor="text1"/>
          <w:szCs w:val="16"/>
        </w:rPr>
      </w:pPr>
    </w:p>
    <w:p w14:paraId="2747E483" w14:textId="77777777" w:rsidR="004C1CEE" w:rsidRPr="00ED172B" w:rsidRDefault="004C1CEE" w:rsidP="00DC0682">
      <w:pPr>
        <w:rPr>
          <w:rFonts w:cs="Arial"/>
          <w:color w:val="000000" w:themeColor="text1"/>
          <w:szCs w:val="16"/>
        </w:rPr>
      </w:pPr>
    </w:p>
    <w:p w14:paraId="0C164DEF" w14:textId="77777777" w:rsidR="00DC0682" w:rsidRPr="00A40EE1" w:rsidRDefault="000D0117" w:rsidP="005C3FFD">
      <w:pPr>
        <w:pStyle w:val="Heading2"/>
      </w:pPr>
      <w:r w:rsidRPr="00A40EE1">
        <w:t xml:space="preserve">3 - </w:t>
      </w:r>
      <w:r w:rsidR="00DC0682" w:rsidRPr="00A40EE1">
        <w:t>OSEP Response</w:t>
      </w:r>
    </w:p>
    <w:p w14:paraId="4EB88338" w14:textId="77777777" w:rsidR="00DC0682" w:rsidRPr="00ED172B" w:rsidRDefault="00DC0682" w:rsidP="005C14C2">
      <w:pPr>
        <w:rPr>
          <w:color w:val="000000" w:themeColor="text1"/>
        </w:rPr>
      </w:pPr>
    </w:p>
    <w:p w14:paraId="178EDA6E" w14:textId="77777777" w:rsidR="00DC0682" w:rsidRPr="00A40EE1" w:rsidRDefault="000D0117" w:rsidP="005C3FFD">
      <w:pPr>
        <w:pStyle w:val="Heading2"/>
      </w:pPr>
      <w:r w:rsidRPr="00A40EE1">
        <w:t xml:space="preserve">3 - </w:t>
      </w:r>
      <w:r w:rsidR="00DC0682" w:rsidRPr="00A40EE1">
        <w:t>Required Actions</w:t>
      </w:r>
    </w:p>
    <w:p w14:paraId="5E5E74B1" w14:textId="77777777" w:rsidR="00DC0682" w:rsidRPr="00ED172B" w:rsidRDefault="00DC0682" w:rsidP="005C14C2">
      <w:pPr>
        <w:rPr>
          <w:color w:val="000000" w:themeColor="text1"/>
        </w:rPr>
      </w:pPr>
    </w:p>
    <w:p w14:paraId="68AF961F"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331F0BB6" w14:textId="7777777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5"/>
      <w:bookmarkEnd w:id="16"/>
      <w:r w:rsidR="001F545F" w:rsidRPr="00ED172B">
        <w:rPr>
          <w:color w:val="000000" w:themeColor="text1"/>
        </w:rPr>
        <w:t>4: Family Involvement</w:t>
      </w:r>
    </w:p>
    <w:p w14:paraId="491126E6" w14:textId="77777777" w:rsidR="000C5918" w:rsidRPr="00ED172B" w:rsidRDefault="000C5918" w:rsidP="00186420">
      <w:pPr>
        <w:rPr>
          <w:color w:val="000000" w:themeColor="text1"/>
          <w:szCs w:val="20"/>
        </w:rPr>
      </w:pPr>
      <w:bookmarkStart w:id="17" w:name="_Toc392159271"/>
      <w:r w:rsidRPr="00ED172B">
        <w:rPr>
          <w:b/>
          <w:color w:val="000000" w:themeColor="text1"/>
          <w:sz w:val="20"/>
          <w:szCs w:val="20"/>
        </w:rPr>
        <w:t>Instructions and Measurement</w:t>
      </w:r>
    </w:p>
    <w:p w14:paraId="320E20F8"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 xml:space="preserve">Early Intervention Services </w:t>
      </w:r>
      <w:proofErr w:type="gramStart"/>
      <w:r w:rsidRPr="00ED172B">
        <w:rPr>
          <w:color w:val="000000" w:themeColor="text1"/>
        </w:rPr>
        <w:t>In</w:t>
      </w:r>
      <w:proofErr w:type="gramEnd"/>
      <w:r w:rsidRPr="00ED172B">
        <w:rPr>
          <w:color w:val="000000" w:themeColor="text1"/>
        </w:rPr>
        <w:t xml:space="preserve"> Natural Environments</w:t>
      </w:r>
    </w:p>
    <w:p w14:paraId="631394A5"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families participating in Part </w:t>
      </w:r>
      <w:proofErr w:type="gramStart"/>
      <w:r w:rsidRPr="00ED172B">
        <w:rPr>
          <w:color w:val="000000" w:themeColor="text1"/>
          <w:szCs w:val="16"/>
        </w:rPr>
        <w:t>C who</w:t>
      </w:r>
      <w:proofErr w:type="gramEnd"/>
      <w:r w:rsidRPr="00ED172B">
        <w:rPr>
          <w:color w:val="000000" w:themeColor="text1"/>
          <w:szCs w:val="16"/>
        </w:rPr>
        <w:t xml:space="preserve"> report that early intervention services have helped the family:</w:t>
      </w:r>
    </w:p>
    <w:p w14:paraId="013A73E2" w14:textId="77777777" w:rsidR="001F545F" w:rsidRPr="00ED172B" w:rsidRDefault="007F55E8" w:rsidP="00ED172B">
      <w:pPr>
        <w:ind w:firstLine="360"/>
        <w:rPr>
          <w:color w:val="000000" w:themeColor="text1"/>
          <w:szCs w:val="16"/>
        </w:rPr>
      </w:pPr>
      <w:r w:rsidRPr="00ED172B">
        <w:rPr>
          <w:color w:val="000000" w:themeColor="text1"/>
          <w:szCs w:val="16"/>
        </w:rPr>
        <w:t xml:space="preserve">A. Know their </w:t>
      </w:r>
      <w:proofErr w:type="gramStart"/>
      <w:r w:rsidRPr="00ED172B">
        <w:rPr>
          <w:color w:val="000000" w:themeColor="text1"/>
          <w:szCs w:val="16"/>
        </w:rPr>
        <w:t>rights;</w:t>
      </w:r>
      <w:proofErr w:type="gramEnd"/>
    </w:p>
    <w:p w14:paraId="3A7C54D5" w14:textId="77777777"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4ECF3DE8" w14:textId="77777777"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7F86BA01"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6E9AB890" w14:textId="77777777" w:rsidR="00A9742C" w:rsidRPr="00ED172B" w:rsidRDefault="00A9742C">
      <w:pPr>
        <w:rPr>
          <w:b/>
          <w:color w:val="000000" w:themeColor="text1"/>
        </w:rPr>
      </w:pPr>
      <w:bookmarkStart w:id="18" w:name="_Toc392159272"/>
      <w:bookmarkEnd w:id="17"/>
      <w:r w:rsidRPr="00ED172B">
        <w:rPr>
          <w:b/>
          <w:color w:val="000000" w:themeColor="text1"/>
        </w:rPr>
        <w:t>Data Source</w:t>
      </w:r>
    </w:p>
    <w:p w14:paraId="40A7646C" w14:textId="77777777"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70C463AA" w14:textId="77777777" w:rsidR="00A9742C" w:rsidRPr="00ED172B" w:rsidRDefault="00A9742C">
      <w:pPr>
        <w:rPr>
          <w:b/>
          <w:color w:val="000000" w:themeColor="text1"/>
        </w:rPr>
      </w:pPr>
      <w:r w:rsidRPr="00ED172B">
        <w:rPr>
          <w:b/>
          <w:color w:val="000000" w:themeColor="text1"/>
        </w:rPr>
        <w:t>Measurement</w:t>
      </w:r>
    </w:p>
    <w:p w14:paraId="39306832" w14:textId="7777777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111A0E53" w14:textId="77777777" w:rsidR="00A9742C" w:rsidRPr="00ED172B" w:rsidRDefault="007F55E8" w:rsidP="00ED172B">
      <w:pPr>
        <w:ind w:left="360"/>
        <w:rPr>
          <w:color w:val="000000" w:themeColor="text1"/>
          <w:szCs w:val="16"/>
        </w:rPr>
      </w:pPr>
      <w:r w:rsidRPr="00ED172B">
        <w:rPr>
          <w:color w:val="000000" w:themeColor="text1"/>
          <w:szCs w:val="16"/>
        </w:rPr>
        <w:t xml:space="preserve">B. Percent = </w:t>
      </w:r>
      <w:proofErr w:type="gramStart"/>
      <w:r w:rsidRPr="00ED172B">
        <w:rPr>
          <w:color w:val="000000" w:themeColor="text1"/>
          <w:szCs w:val="16"/>
        </w:rPr>
        <w:t xml:space="preserve">[(# </w:t>
      </w:r>
      <w:proofErr w:type="gramEnd"/>
      <w:r w:rsidRPr="00ED172B">
        <w:rPr>
          <w:color w:val="000000" w:themeColor="text1"/>
          <w:szCs w:val="16"/>
        </w:rPr>
        <w:t xml:space="preserve">of respondent families participating in Part C who report that early intervention services have helped the family effectively communicate their children’s needs) divided by </w:t>
      </w:r>
      <w:proofErr w:type="gramStart"/>
      <w:r w:rsidRPr="00ED172B">
        <w:rPr>
          <w:color w:val="000000" w:themeColor="text1"/>
          <w:szCs w:val="16"/>
        </w:rPr>
        <w:t xml:space="preserve">the (# </w:t>
      </w:r>
      <w:proofErr w:type="gramEnd"/>
      <w:r w:rsidRPr="00ED172B">
        <w:rPr>
          <w:color w:val="000000" w:themeColor="text1"/>
          <w:szCs w:val="16"/>
        </w:rPr>
        <w:t>of respondent families participating in Part C)] times 100.</w:t>
      </w:r>
    </w:p>
    <w:p w14:paraId="2FA4368F" w14:textId="77777777" w:rsidR="00A9742C" w:rsidRPr="00ED172B" w:rsidRDefault="007F55E8" w:rsidP="00ED172B">
      <w:pPr>
        <w:ind w:left="360"/>
        <w:rPr>
          <w:color w:val="000000" w:themeColor="text1"/>
          <w:szCs w:val="16"/>
        </w:rPr>
      </w:pPr>
      <w:r w:rsidRPr="00ED172B">
        <w:rPr>
          <w:color w:val="000000" w:themeColor="text1"/>
          <w:szCs w:val="16"/>
        </w:rPr>
        <w:t xml:space="preserve">C. Percent = </w:t>
      </w:r>
      <w:proofErr w:type="gramStart"/>
      <w:r w:rsidRPr="00ED172B">
        <w:rPr>
          <w:color w:val="000000" w:themeColor="text1"/>
          <w:szCs w:val="16"/>
        </w:rPr>
        <w:t xml:space="preserve">[(# </w:t>
      </w:r>
      <w:proofErr w:type="gramEnd"/>
      <w:r w:rsidRPr="00ED172B">
        <w:rPr>
          <w:color w:val="000000" w:themeColor="text1"/>
          <w:szCs w:val="16"/>
        </w:rPr>
        <w:t xml:space="preserve">of respondent families participating in Part C who report that early intervention services have helped the family help their children develop and learn) divided by </w:t>
      </w:r>
      <w:proofErr w:type="gramStart"/>
      <w:r w:rsidRPr="00ED172B">
        <w:rPr>
          <w:color w:val="000000" w:themeColor="text1"/>
          <w:szCs w:val="16"/>
        </w:rPr>
        <w:t xml:space="preserve">the (# </w:t>
      </w:r>
      <w:proofErr w:type="gramEnd"/>
      <w:r w:rsidRPr="00ED172B">
        <w:rPr>
          <w:color w:val="000000" w:themeColor="text1"/>
          <w:szCs w:val="16"/>
        </w:rPr>
        <w:t>of respondent families participating in Part C)] times 100.</w:t>
      </w:r>
    </w:p>
    <w:p w14:paraId="49CDCC76" w14:textId="77777777" w:rsidR="00A9742C" w:rsidRPr="00ED172B" w:rsidRDefault="00A9742C">
      <w:pPr>
        <w:rPr>
          <w:b/>
          <w:color w:val="000000" w:themeColor="text1"/>
        </w:rPr>
      </w:pPr>
      <w:r w:rsidRPr="00ED172B">
        <w:rPr>
          <w:b/>
          <w:color w:val="000000" w:themeColor="text1"/>
        </w:rPr>
        <w:t>Instructions</w:t>
      </w:r>
    </w:p>
    <w:p w14:paraId="7729B3C4"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15E24B6F"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2574A416"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06C7B3C4"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36481C87"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077B34F9" w14:textId="77777777" w:rsidR="00AD10DA" w:rsidRPr="003D3ED1" w:rsidRDefault="00AD10DA" w:rsidP="00AD10DA">
      <w:pPr>
        <w:pStyle w:val="Subhed"/>
        <w:rPr>
          <w:rFonts w:cstheme="minorBidi"/>
          <w:b w:val="0"/>
        </w:rPr>
      </w:pPr>
      <w:r w:rsidRPr="003D3ED1">
        <w:rPr>
          <w:rFonts w:cstheme="minorBidi"/>
          <w:b w:val="0"/>
        </w:rPr>
        <w:t xml:space="preserve">States will be required to </w:t>
      </w:r>
      <w:bookmarkStart w:id="19" w:name="_Hlk78829878"/>
      <w:r w:rsidRPr="003D3ED1">
        <w:rPr>
          <w:rFonts w:cstheme="minorBidi"/>
          <w:b w:val="0"/>
        </w:rPr>
        <w:t>compare the current year’s response rate to the previous year(s) response rate(s)</w:t>
      </w:r>
      <w:r w:rsidR="00BF0C35">
        <w:rPr>
          <w:rFonts w:cstheme="minorBidi"/>
          <w:b w:val="0"/>
        </w:rPr>
        <w:t xml:space="preserve"> </w:t>
      </w:r>
      <w:r w:rsidRPr="003D3ED1">
        <w:rPr>
          <w:rFonts w:cstheme="minorBidi"/>
          <w:b w:val="0"/>
        </w:rPr>
        <w:t xml:space="preserve">and describe strategies that will be implemented which are expected to increase the response rate year </w:t>
      </w:r>
      <w:proofErr w:type="gramStart"/>
      <w:r w:rsidRPr="003D3ED1">
        <w:rPr>
          <w:rFonts w:cstheme="minorBidi"/>
          <w:b w:val="0"/>
        </w:rPr>
        <w:t>over</w:t>
      </w:r>
      <w:proofErr w:type="gramEnd"/>
      <w:r w:rsidRPr="003D3ED1">
        <w:rPr>
          <w:rFonts w:cstheme="minorBidi"/>
          <w:b w:val="0"/>
        </w:rPr>
        <w:t xml:space="preserve"> year, particularly for those groups that are underrepresented</w:t>
      </w:r>
      <w:bookmarkEnd w:id="19"/>
      <w:r w:rsidRPr="003D3ED1">
        <w:rPr>
          <w:rFonts w:cstheme="minorBidi"/>
          <w:b w:val="0"/>
        </w:rPr>
        <w:t>.</w:t>
      </w:r>
    </w:p>
    <w:p w14:paraId="1CABE457" w14:textId="77777777"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096393B5" w14:textId="77777777"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0" w:name="_Hlk80187466"/>
      <w:r w:rsidR="00D45F98" w:rsidRPr="003D3ED1">
        <w:t>infants or toddlers for whom</w:t>
      </w:r>
      <w:bookmarkEnd w:id="20"/>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1" w:name="_Hlk80187529"/>
      <w:r w:rsidR="00D45F98" w:rsidRPr="003D3ED1">
        <w:t>receiving services</w:t>
      </w:r>
      <w:bookmarkEnd w:id="21"/>
      <w:r w:rsidRPr="00ED172B">
        <w:rPr>
          <w:color w:val="000000" w:themeColor="text1"/>
          <w:szCs w:val="16"/>
        </w:rPr>
        <w:t xml:space="preserve"> in the Part C program. </w:t>
      </w:r>
      <w:r w:rsidR="00D57298">
        <w:t xml:space="preserve">States should consider categories such as race/ethnicity, age of </w:t>
      </w:r>
      <w:proofErr w:type="gramStart"/>
      <w:r w:rsidR="00D57298">
        <w:t>infant</w:t>
      </w:r>
      <w:proofErr w:type="gramEnd"/>
      <w:r w:rsidR="00D57298">
        <w:t xml:space="preserve"> or </w:t>
      </w:r>
      <w:proofErr w:type="gramStart"/>
      <w:r w:rsidR="00D57298">
        <w:t>toddler</w:t>
      </w:r>
      <w:proofErr w:type="gramEnd"/>
      <w:r w:rsidR="00D57298">
        <w:t xml:space="preserve">, and geographic location in the State. </w:t>
      </w:r>
    </w:p>
    <w:p w14:paraId="4C263FC6" w14:textId="77777777"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r w:rsidR="000550D9">
        <w:t>.</w:t>
      </w:r>
    </w:p>
    <w:p w14:paraId="72697188" w14:textId="77777777"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2" w:name="_Hlk80196581"/>
      <w:r w:rsidR="00D57F7D" w:rsidRPr="003D3ED1">
        <w:t>infants or toddlers for whom</w:t>
      </w:r>
      <w:bookmarkEnd w:id="22"/>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5235701B" w14:textId="77777777" w:rsidR="00DB61F6" w:rsidRPr="00E6031E" w:rsidRDefault="00AB026B" w:rsidP="00DB61F6">
      <w:pPr>
        <w:pStyle w:val="Subhed"/>
        <w:rPr>
          <w:rFonts w:cstheme="minorBidi"/>
          <w:b w:val="0"/>
        </w:rPr>
      </w:pPr>
      <w:r>
        <w:rPr>
          <w:rFonts w:cstheme="minorBidi"/>
          <w:b w:val="0"/>
        </w:rPr>
        <w:t>When reporting the extent to which the demographics of the infants or toddlers for whom families responded are representative of the demographics of infants and toddlers enrolled in the Part C program, States must include race/ethnicity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671AA5D4" w14:textId="77777777"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18"/>
    <w:p w14:paraId="0458B70C" w14:textId="77777777" w:rsidR="00ED272C" w:rsidRPr="00A40EE1" w:rsidRDefault="000D0117" w:rsidP="005C3FFD">
      <w:pPr>
        <w:pStyle w:val="Heading2"/>
      </w:pPr>
      <w:r w:rsidRPr="00A40EE1">
        <w:t xml:space="preserve">4 - </w:t>
      </w:r>
      <w:r w:rsidR="004D140B" w:rsidRPr="00A40EE1">
        <w:t>Indicator Data</w:t>
      </w:r>
    </w:p>
    <w:p w14:paraId="5A72F297" w14:textId="77777777" w:rsidR="001F545F" w:rsidRPr="00ED172B" w:rsidRDefault="001F545F">
      <w:pPr>
        <w:rPr>
          <w:b/>
          <w:color w:val="000000" w:themeColor="text1"/>
        </w:rPr>
      </w:pPr>
      <w:bookmarkStart w:id="23"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427202DF" w14:textId="77777777" w:rsidTr="00A40EE1">
        <w:trPr>
          <w:trHeight w:val="350"/>
        </w:trPr>
        <w:tc>
          <w:tcPr>
            <w:tcW w:w="415" w:type="pct"/>
            <w:tcBorders>
              <w:top w:val="single" w:sz="4" w:space="0" w:color="auto"/>
              <w:left w:val="single" w:sz="4" w:space="0" w:color="auto"/>
              <w:bottom w:val="single" w:sz="4" w:space="0" w:color="auto"/>
              <w:right w:val="single" w:sz="4" w:space="0" w:color="auto"/>
            </w:tcBorders>
            <w:vAlign w:val="bottom"/>
          </w:tcPr>
          <w:p w14:paraId="06D183A5" w14:textId="77777777"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vAlign w:val="bottom"/>
          </w:tcPr>
          <w:p w14:paraId="2EB3FCED" w14:textId="77777777"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vAlign w:val="bottom"/>
          </w:tcPr>
          <w:p w14:paraId="49FADB7A" w14:textId="77777777"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vAlign w:val="center"/>
          </w:tcPr>
          <w:p w14:paraId="37C2A6D2"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vAlign w:val="center"/>
          </w:tcPr>
          <w:p w14:paraId="4186956A"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vAlign w:val="center"/>
          </w:tcPr>
          <w:p w14:paraId="631ED627"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vAlign w:val="center"/>
          </w:tcPr>
          <w:p w14:paraId="310A7D6C" w14:textId="77777777" w:rsidR="00013004" w:rsidRPr="00ED172B" w:rsidRDefault="002163F2" w:rsidP="00013004">
            <w:pPr>
              <w:jc w:val="center"/>
              <w:rPr>
                <w:rFonts w:cs="Arial"/>
                <w:b/>
                <w:color w:val="000000" w:themeColor="text1"/>
                <w:szCs w:val="16"/>
              </w:rPr>
            </w:pPr>
            <w:r w:rsidRPr="00ED172B">
              <w:rPr>
                <w:rFonts w:cs="Arial"/>
                <w:b/>
                <w:color w:val="000000" w:themeColor="text1"/>
                <w:szCs w:val="16"/>
              </w:rPr>
              <w:t>2022</w:t>
            </w:r>
          </w:p>
        </w:tc>
        <w:tc>
          <w:tcPr>
            <w:tcW w:w="775" w:type="pct"/>
            <w:tcBorders>
              <w:top w:val="single" w:sz="4" w:space="0" w:color="auto"/>
              <w:left w:val="single" w:sz="4" w:space="0" w:color="auto"/>
              <w:bottom w:val="single" w:sz="4" w:space="0" w:color="auto"/>
              <w:right w:val="single" w:sz="4" w:space="0" w:color="auto"/>
            </w:tcBorders>
            <w:vAlign w:val="center"/>
          </w:tcPr>
          <w:p w14:paraId="7A7A573F" w14:textId="77777777" w:rsidR="00013004" w:rsidRPr="00ED172B" w:rsidRDefault="006D43D3" w:rsidP="00013004">
            <w:pPr>
              <w:jc w:val="center"/>
              <w:rPr>
                <w:rFonts w:cs="Arial"/>
                <w:b/>
                <w:color w:val="000000" w:themeColor="text1"/>
                <w:szCs w:val="16"/>
              </w:rPr>
            </w:pPr>
            <w:r w:rsidRPr="00ED172B">
              <w:rPr>
                <w:rFonts w:cs="Arial"/>
                <w:b/>
                <w:color w:val="000000" w:themeColor="text1"/>
                <w:szCs w:val="16"/>
              </w:rPr>
              <w:t>2023</w:t>
            </w:r>
          </w:p>
        </w:tc>
      </w:tr>
      <w:tr w:rsidR="00ED172B" w:rsidRPr="00ED172B" w14:paraId="519DA56E" w14:textId="77777777" w:rsidTr="00A40EE1">
        <w:trPr>
          <w:trHeight w:val="70"/>
        </w:trPr>
        <w:tc>
          <w:tcPr>
            <w:tcW w:w="415" w:type="pct"/>
            <w:tcBorders>
              <w:top w:val="single" w:sz="4" w:space="0" w:color="auto"/>
              <w:left w:val="single" w:sz="4" w:space="0" w:color="auto"/>
              <w:right w:val="single" w:sz="4" w:space="0" w:color="auto"/>
            </w:tcBorders>
            <w:vAlign w:val="center"/>
          </w:tcPr>
          <w:p w14:paraId="2AE50FF0"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tcPr>
          <w:p w14:paraId="30A12562" w14:textId="77777777" w:rsidR="00013004" w:rsidRPr="00ED172B" w:rsidRDefault="00291EA9" w:rsidP="00ED172B">
            <w:pPr>
              <w:jc w:val="center"/>
              <w:rPr>
                <w:color w:val="000000" w:themeColor="text1"/>
              </w:rPr>
            </w:pPr>
            <w:r w:rsidRPr="00ED172B">
              <w:rPr>
                <w:color w:val="000000" w:themeColor="text1"/>
              </w:rPr>
              <w:t>2013</w:t>
            </w:r>
          </w:p>
        </w:tc>
        <w:tc>
          <w:tcPr>
            <w:tcW w:w="374" w:type="pct"/>
            <w:tcBorders>
              <w:top w:val="single" w:sz="4" w:space="0" w:color="auto"/>
              <w:left w:val="single" w:sz="4" w:space="0" w:color="auto"/>
              <w:bottom w:val="single" w:sz="4" w:space="0" w:color="auto"/>
              <w:right w:val="single" w:sz="4" w:space="0" w:color="auto"/>
            </w:tcBorders>
            <w:hideMark/>
          </w:tcPr>
          <w:p w14:paraId="3123E71C"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4965F41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90.60%</w:t>
            </w:r>
          </w:p>
        </w:tc>
        <w:tc>
          <w:tcPr>
            <w:tcW w:w="776" w:type="pct"/>
            <w:tcBorders>
              <w:top w:val="single" w:sz="4" w:space="0" w:color="auto"/>
              <w:left w:val="single" w:sz="4" w:space="0" w:color="auto"/>
              <w:bottom w:val="single" w:sz="4" w:space="0" w:color="auto"/>
              <w:right w:val="single" w:sz="4" w:space="0" w:color="auto"/>
            </w:tcBorders>
            <w:vAlign w:val="center"/>
          </w:tcPr>
          <w:p w14:paraId="6751E4CE"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95.00%</w:t>
            </w:r>
          </w:p>
        </w:tc>
        <w:tc>
          <w:tcPr>
            <w:tcW w:w="776" w:type="pct"/>
            <w:tcBorders>
              <w:top w:val="single" w:sz="4" w:space="0" w:color="auto"/>
              <w:left w:val="single" w:sz="4" w:space="0" w:color="auto"/>
              <w:bottom w:val="single" w:sz="4" w:space="0" w:color="auto"/>
              <w:right w:val="single" w:sz="4" w:space="0" w:color="auto"/>
            </w:tcBorders>
            <w:vAlign w:val="center"/>
          </w:tcPr>
          <w:p w14:paraId="4BC3937E"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95.00%</w:t>
            </w:r>
          </w:p>
        </w:tc>
        <w:tc>
          <w:tcPr>
            <w:tcW w:w="776" w:type="pct"/>
            <w:tcBorders>
              <w:top w:val="single" w:sz="4" w:space="0" w:color="auto"/>
              <w:left w:val="single" w:sz="4" w:space="0" w:color="auto"/>
              <w:bottom w:val="single" w:sz="4" w:space="0" w:color="auto"/>
              <w:right w:val="single" w:sz="4" w:space="0" w:color="auto"/>
            </w:tcBorders>
            <w:vAlign w:val="center"/>
          </w:tcPr>
          <w:p w14:paraId="28FE2EC1"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95.00%</w:t>
            </w:r>
          </w:p>
        </w:tc>
        <w:tc>
          <w:tcPr>
            <w:tcW w:w="775" w:type="pct"/>
            <w:tcBorders>
              <w:top w:val="single" w:sz="4" w:space="0" w:color="auto"/>
              <w:left w:val="single" w:sz="4" w:space="0" w:color="auto"/>
              <w:bottom w:val="single" w:sz="4" w:space="0" w:color="auto"/>
              <w:right w:val="single" w:sz="4" w:space="0" w:color="auto"/>
            </w:tcBorders>
            <w:vAlign w:val="center"/>
          </w:tcPr>
          <w:p w14:paraId="3A545DC2"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95.00%</w:t>
            </w:r>
          </w:p>
        </w:tc>
      </w:tr>
      <w:tr w:rsidR="00ED172B" w:rsidRPr="00ED172B" w14:paraId="49FDA070" w14:textId="77777777" w:rsidTr="00A40EE1">
        <w:trPr>
          <w:trHeight w:val="85"/>
        </w:trPr>
        <w:tc>
          <w:tcPr>
            <w:tcW w:w="415" w:type="pct"/>
            <w:tcBorders>
              <w:left w:val="single" w:sz="4" w:space="0" w:color="auto"/>
              <w:right w:val="single" w:sz="4" w:space="0" w:color="auto"/>
            </w:tcBorders>
            <w:vAlign w:val="center"/>
          </w:tcPr>
          <w:p w14:paraId="27E05184"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tcPr>
          <w:p w14:paraId="63A405A6" w14:textId="77777777" w:rsidR="00013004" w:rsidRPr="00ED172B" w:rsidRDefault="00291EA9" w:rsidP="00ED172B">
            <w:pPr>
              <w:jc w:val="center"/>
              <w:rPr>
                <w:color w:val="000000" w:themeColor="text1"/>
              </w:rPr>
            </w:pPr>
            <w:r w:rsidRPr="00ED172B">
              <w:rPr>
                <w:color w:val="000000" w:themeColor="text1"/>
              </w:rPr>
              <w:t>75.42%</w:t>
            </w:r>
          </w:p>
        </w:tc>
        <w:tc>
          <w:tcPr>
            <w:tcW w:w="374" w:type="pct"/>
            <w:tcBorders>
              <w:top w:val="single" w:sz="4" w:space="0" w:color="auto"/>
              <w:left w:val="single" w:sz="4" w:space="0" w:color="auto"/>
              <w:bottom w:val="single" w:sz="4" w:space="0" w:color="auto"/>
              <w:right w:val="single" w:sz="4" w:space="0" w:color="auto"/>
            </w:tcBorders>
            <w:hideMark/>
          </w:tcPr>
          <w:p w14:paraId="2679A333"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2376929A"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98.26%</w:t>
            </w:r>
          </w:p>
        </w:tc>
        <w:tc>
          <w:tcPr>
            <w:tcW w:w="776" w:type="pct"/>
            <w:tcBorders>
              <w:top w:val="single" w:sz="4" w:space="0" w:color="auto"/>
              <w:left w:val="single" w:sz="4" w:space="0" w:color="auto"/>
              <w:bottom w:val="single" w:sz="4" w:space="0" w:color="auto"/>
              <w:right w:val="single" w:sz="4" w:space="0" w:color="auto"/>
            </w:tcBorders>
            <w:vAlign w:val="center"/>
          </w:tcPr>
          <w:p w14:paraId="16E2E4D5"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95.33%</w:t>
            </w:r>
          </w:p>
        </w:tc>
        <w:tc>
          <w:tcPr>
            <w:tcW w:w="776" w:type="pct"/>
            <w:tcBorders>
              <w:top w:val="single" w:sz="4" w:space="0" w:color="auto"/>
              <w:left w:val="single" w:sz="4" w:space="0" w:color="auto"/>
              <w:bottom w:val="single" w:sz="4" w:space="0" w:color="auto"/>
              <w:right w:val="single" w:sz="4" w:space="0" w:color="auto"/>
            </w:tcBorders>
            <w:vAlign w:val="center"/>
          </w:tcPr>
          <w:p w14:paraId="19716C6A"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92.96%</w:t>
            </w:r>
          </w:p>
        </w:tc>
        <w:tc>
          <w:tcPr>
            <w:tcW w:w="776" w:type="pct"/>
            <w:tcBorders>
              <w:top w:val="single" w:sz="4" w:space="0" w:color="auto"/>
              <w:left w:val="single" w:sz="4" w:space="0" w:color="auto"/>
              <w:bottom w:val="single" w:sz="4" w:space="0" w:color="auto"/>
              <w:right w:val="single" w:sz="4" w:space="0" w:color="auto"/>
            </w:tcBorders>
            <w:vAlign w:val="center"/>
          </w:tcPr>
          <w:p w14:paraId="2F58D85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94.07%</w:t>
            </w:r>
          </w:p>
        </w:tc>
        <w:tc>
          <w:tcPr>
            <w:tcW w:w="775" w:type="pct"/>
            <w:tcBorders>
              <w:top w:val="single" w:sz="4" w:space="0" w:color="auto"/>
              <w:left w:val="single" w:sz="4" w:space="0" w:color="auto"/>
              <w:bottom w:val="single" w:sz="4" w:space="0" w:color="auto"/>
              <w:right w:val="single" w:sz="4" w:space="0" w:color="auto"/>
            </w:tcBorders>
            <w:vAlign w:val="center"/>
          </w:tcPr>
          <w:p w14:paraId="7E70D739"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94.10%</w:t>
            </w:r>
          </w:p>
        </w:tc>
      </w:tr>
      <w:tr w:rsidR="00ED172B" w:rsidRPr="00ED172B" w14:paraId="2DD7001E" w14:textId="77777777" w:rsidTr="00A40EE1">
        <w:trPr>
          <w:trHeight w:val="357"/>
        </w:trPr>
        <w:tc>
          <w:tcPr>
            <w:tcW w:w="415" w:type="pct"/>
            <w:tcBorders>
              <w:top w:val="single" w:sz="4" w:space="0" w:color="auto"/>
              <w:left w:val="single" w:sz="4" w:space="0" w:color="auto"/>
              <w:right w:val="single" w:sz="4" w:space="0" w:color="auto"/>
            </w:tcBorders>
            <w:vAlign w:val="center"/>
          </w:tcPr>
          <w:p w14:paraId="2200D6E9"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1541638B" w14:textId="77777777" w:rsidR="00013004" w:rsidRPr="00ED172B" w:rsidRDefault="00291EA9" w:rsidP="00ED172B">
            <w:pPr>
              <w:jc w:val="center"/>
              <w:rPr>
                <w:color w:val="000000" w:themeColor="text1"/>
              </w:rPr>
            </w:pPr>
            <w:r w:rsidRPr="00ED172B">
              <w:rPr>
                <w:color w:val="000000" w:themeColor="text1"/>
              </w:rPr>
              <w:t>2013</w:t>
            </w:r>
          </w:p>
        </w:tc>
        <w:tc>
          <w:tcPr>
            <w:tcW w:w="374" w:type="pct"/>
            <w:tcBorders>
              <w:top w:val="single" w:sz="4" w:space="0" w:color="auto"/>
              <w:left w:val="single" w:sz="4" w:space="0" w:color="auto"/>
              <w:bottom w:val="single" w:sz="4" w:space="0" w:color="auto"/>
              <w:right w:val="single" w:sz="4" w:space="0" w:color="auto"/>
            </w:tcBorders>
            <w:hideMark/>
          </w:tcPr>
          <w:p w14:paraId="08947622"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4284B764"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93.60%</w:t>
            </w:r>
          </w:p>
        </w:tc>
        <w:tc>
          <w:tcPr>
            <w:tcW w:w="776" w:type="pct"/>
            <w:tcBorders>
              <w:top w:val="single" w:sz="4" w:space="0" w:color="auto"/>
              <w:left w:val="single" w:sz="4" w:space="0" w:color="auto"/>
              <w:bottom w:val="single" w:sz="4" w:space="0" w:color="auto"/>
              <w:right w:val="single" w:sz="4" w:space="0" w:color="auto"/>
            </w:tcBorders>
            <w:vAlign w:val="center"/>
          </w:tcPr>
          <w:p w14:paraId="787C444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96.00%</w:t>
            </w:r>
          </w:p>
        </w:tc>
        <w:tc>
          <w:tcPr>
            <w:tcW w:w="776" w:type="pct"/>
            <w:tcBorders>
              <w:top w:val="single" w:sz="4" w:space="0" w:color="auto"/>
              <w:left w:val="single" w:sz="4" w:space="0" w:color="auto"/>
              <w:bottom w:val="single" w:sz="4" w:space="0" w:color="auto"/>
              <w:right w:val="single" w:sz="4" w:space="0" w:color="auto"/>
            </w:tcBorders>
            <w:vAlign w:val="center"/>
          </w:tcPr>
          <w:p w14:paraId="52544689"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96.00%</w:t>
            </w:r>
          </w:p>
        </w:tc>
        <w:tc>
          <w:tcPr>
            <w:tcW w:w="776" w:type="pct"/>
            <w:tcBorders>
              <w:top w:val="single" w:sz="4" w:space="0" w:color="auto"/>
              <w:left w:val="single" w:sz="4" w:space="0" w:color="auto"/>
              <w:bottom w:val="single" w:sz="4" w:space="0" w:color="auto"/>
              <w:right w:val="single" w:sz="4" w:space="0" w:color="auto"/>
            </w:tcBorders>
            <w:vAlign w:val="center"/>
          </w:tcPr>
          <w:p w14:paraId="0622E198"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96.00%</w:t>
            </w:r>
          </w:p>
        </w:tc>
        <w:tc>
          <w:tcPr>
            <w:tcW w:w="775" w:type="pct"/>
            <w:tcBorders>
              <w:top w:val="single" w:sz="4" w:space="0" w:color="auto"/>
              <w:left w:val="single" w:sz="4" w:space="0" w:color="auto"/>
              <w:bottom w:val="single" w:sz="4" w:space="0" w:color="auto"/>
              <w:right w:val="single" w:sz="4" w:space="0" w:color="auto"/>
            </w:tcBorders>
            <w:vAlign w:val="center"/>
          </w:tcPr>
          <w:p w14:paraId="0335464F"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96.00%</w:t>
            </w:r>
          </w:p>
        </w:tc>
      </w:tr>
      <w:tr w:rsidR="00ED172B" w:rsidRPr="00ED172B" w14:paraId="60EE446F" w14:textId="77777777" w:rsidTr="00A40EE1">
        <w:trPr>
          <w:trHeight w:val="85"/>
        </w:trPr>
        <w:tc>
          <w:tcPr>
            <w:tcW w:w="415" w:type="pct"/>
            <w:tcBorders>
              <w:left w:val="single" w:sz="4" w:space="0" w:color="auto"/>
              <w:right w:val="single" w:sz="4" w:space="0" w:color="auto"/>
            </w:tcBorders>
            <w:vAlign w:val="center"/>
          </w:tcPr>
          <w:p w14:paraId="2C2C5A51"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3C91909F" w14:textId="77777777" w:rsidR="00013004" w:rsidRPr="00ED172B" w:rsidRDefault="00291EA9" w:rsidP="00ED172B">
            <w:pPr>
              <w:jc w:val="center"/>
              <w:rPr>
                <w:color w:val="000000" w:themeColor="text1"/>
              </w:rPr>
            </w:pPr>
            <w:r w:rsidRPr="00ED172B">
              <w:rPr>
                <w:color w:val="000000" w:themeColor="text1"/>
              </w:rPr>
              <w:t>78.45%</w:t>
            </w:r>
          </w:p>
        </w:tc>
        <w:tc>
          <w:tcPr>
            <w:tcW w:w="374" w:type="pct"/>
            <w:tcBorders>
              <w:top w:val="single" w:sz="4" w:space="0" w:color="auto"/>
              <w:left w:val="single" w:sz="4" w:space="0" w:color="auto"/>
              <w:bottom w:val="single" w:sz="4" w:space="0" w:color="auto"/>
              <w:right w:val="single" w:sz="4" w:space="0" w:color="auto"/>
            </w:tcBorders>
            <w:hideMark/>
          </w:tcPr>
          <w:p w14:paraId="3765EA45"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5BD92FF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97.79%</w:t>
            </w:r>
          </w:p>
        </w:tc>
        <w:tc>
          <w:tcPr>
            <w:tcW w:w="776" w:type="pct"/>
            <w:tcBorders>
              <w:top w:val="single" w:sz="4" w:space="0" w:color="auto"/>
              <w:left w:val="single" w:sz="4" w:space="0" w:color="auto"/>
              <w:bottom w:val="single" w:sz="4" w:space="0" w:color="auto"/>
              <w:right w:val="single" w:sz="4" w:space="0" w:color="auto"/>
            </w:tcBorders>
            <w:vAlign w:val="center"/>
          </w:tcPr>
          <w:p w14:paraId="3612A4FF"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96.13%</w:t>
            </w:r>
          </w:p>
        </w:tc>
        <w:tc>
          <w:tcPr>
            <w:tcW w:w="776" w:type="pct"/>
            <w:tcBorders>
              <w:top w:val="single" w:sz="4" w:space="0" w:color="auto"/>
              <w:left w:val="single" w:sz="4" w:space="0" w:color="auto"/>
              <w:bottom w:val="single" w:sz="4" w:space="0" w:color="auto"/>
              <w:right w:val="single" w:sz="4" w:space="0" w:color="auto"/>
            </w:tcBorders>
            <w:vAlign w:val="center"/>
          </w:tcPr>
          <w:p w14:paraId="0450AB4C"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91.84%</w:t>
            </w:r>
          </w:p>
        </w:tc>
        <w:tc>
          <w:tcPr>
            <w:tcW w:w="776" w:type="pct"/>
            <w:tcBorders>
              <w:top w:val="single" w:sz="4" w:space="0" w:color="auto"/>
              <w:left w:val="single" w:sz="4" w:space="0" w:color="auto"/>
              <w:bottom w:val="single" w:sz="4" w:space="0" w:color="auto"/>
              <w:right w:val="single" w:sz="4" w:space="0" w:color="auto"/>
            </w:tcBorders>
            <w:vAlign w:val="center"/>
          </w:tcPr>
          <w:p w14:paraId="25C8423A"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93.83%</w:t>
            </w:r>
          </w:p>
        </w:tc>
        <w:tc>
          <w:tcPr>
            <w:tcW w:w="775" w:type="pct"/>
            <w:tcBorders>
              <w:top w:val="single" w:sz="4" w:space="0" w:color="auto"/>
              <w:left w:val="single" w:sz="4" w:space="0" w:color="auto"/>
              <w:bottom w:val="single" w:sz="4" w:space="0" w:color="auto"/>
              <w:right w:val="single" w:sz="4" w:space="0" w:color="auto"/>
            </w:tcBorders>
            <w:vAlign w:val="center"/>
          </w:tcPr>
          <w:p w14:paraId="0EA166B7"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93.98%</w:t>
            </w:r>
          </w:p>
        </w:tc>
      </w:tr>
      <w:tr w:rsidR="00ED172B" w:rsidRPr="00ED172B" w14:paraId="718EE78A" w14:textId="77777777" w:rsidTr="00A40EE1">
        <w:trPr>
          <w:trHeight w:val="357"/>
        </w:trPr>
        <w:tc>
          <w:tcPr>
            <w:tcW w:w="415" w:type="pct"/>
            <w:tcBorders>
              <w:top w:val="single" w:sz="4" w:space="0" w:color="auto"/>
              <w:left w:val="single" w:sz="4" w:space="0" w:color="auto"/>
              <w:right w:val="single" w:sz="4" w:space="0" w:color="auto"/>
            </w:tcBorders>
            <w:vAlign w:val="center"/>
          </w:tcPr>
          <w:p w14:paraId="2FC43AE1"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16139A70" w14:textId="77777777" w:rsidR="00013004" w:rsidRPr="00ED172B" w:rsidRDefault="00291EA9" w:rsidP="00ED172B">
            <w:pPr>
              <w:jc w:val="center"/>
              <w:rPr>
                <w:color w:val="000000" w:themeColor="text1"/>
              </w:rPr>
            </w:pPr>
            <w:r w:rsidRPr="00ED172B">
              <w:rPr>
                <w:color w:val="000000" w:themeColor="text1"/>
              </w:rPr>
              <w:t>2013</w:t>
            </w:r>
          </w:p>
        </w:tc>
        <w:tc>
          <w:tcPr>
            <w:tcW w:w="374" w:type="pct"/>
            <w:tcBorders>
              <w:top w:val="single" w:sz="4" w:space="0" w:color="auto"/>
              <w:left w:val="single" w:sz="4" w:space="0" w:color="auto"/>
              <w:bottom w:val="single" w:sz="4" w:space="0" w:color="auto"/>
              <w:right w:val="single" w:sz="4" w:space="0" w:color="auto"/>
            </w:tcBorders>
            <w:hideMark/>
          </w:tcPr>
          <w:p w14:paraId="0918863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0CE1C96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90.60%</w:t>
            </w:r>
          </w:p>
        </w:tc>
        <w:tc>
          <w:tcPr>
            <w:tcW w:w="776" w:type="pct"/>
            <w:tcBorders>
              <w:top w:val="single" w:sz="4" w:space="0" w:color="auto"/>
              <w:left w:val="single" w:sz="4" w:space="0" w:color="auto"/>
              <w:bottom w:val="single" w:sz="4" w:space="0" w:color="auto"/>
              <w:right w:val="single" w:sz="4" w:space="0" w:color="auto"/>
            </w:tcBorders>
            <w:vAlign w:val="center"/>
          </w:tcPr>
          <w:p w14:paraId="4CF8D4C1"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93.00%</w:t>
            </w:r>
          </w:p>
        </w:tc>
        <w:tc>
          <w:tcPr>
            <w:tcW w:w="776" w:type="pct"/>
            <w:tcBorders>
              <w:top w:val="single" w:sz="4" w:space="0" w:color="auto"/>
              <w:left w:val="single" w:sz="4" w:space="0" w:color="auto"/>
              <w:bottom w:val="single" w:sz="4" w:space="0" w:color="auto"/>
              <w:right w:val="single" w:sz="4" w:space="0" w:color="auto"/>
            </w:tcBorders>
            <w:vAlign w:val="center"/>
          </w:tcPr>
          <w:p w14:paraId="0106C383"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93.00%</w:t>
            </w:r>
          </w:p>
        </w:tc>
        <w:tc>
          <w:tcPr>
            <w:tcW w:w="776" w:type="pct"/>
            <w:tcBorders>
              <w:top w:val="single" w:sz="4" w:space="0" w:color="auto"/>
              <w:left w:val="single" w:sz="4" w:space="0" w:color="auto"/>
              <w:bottom w:val="single" w:sz="4" w:space="0" w:color="auto"/>
              <w:right w:val="single" w:sz="4" w:space="0" w:color="auto"/>
            </w:tcBorders>
            <w:vAlign w:val="center"/>
          </w:tcPr>
          <w:p w14:paraId="7B87326E"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93.00%</w:t>
            </w:r>
          </w:p>
        </w:tc>
        <w:tc>
          <w:tcPr>
            <w:tcW w:w="775" w:type="pct"/>
            <w:tcBorders>
              <w:top w:val="single" w:sz="4" w:space="0" w:color="auto"/>
              <w:left w:val="single" w:sz="4" w:space="0" w:color="auto"/>
              <w:bottom w:val="single" w:sz="4" w:space="0" w:color="auto"/>
              <w:right w:val="single" w:sz="4" w:space="0" w:color="auto"/>
            </w:tcBorders>
            <w:vAlign w:val="center"/>
          </w:tcPr>
          <w:p w14:paraId="0CA6AEDC"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93.00%</w:t>
            </w:r>
          </w:p>
        </w:tc>
      </w:tr>
      <w:tr w:rsidR="00ED172B" w:rsidRPr="00ED172B" w14:paraId="75CCF846" w14:textId="77777777" w:rsidTr="00A40EE1">
        <w:trPr>
          <w:trHeight w:val="85"/>
        </w:trPr>
        <w:tc>
          <w:tcPr>
            <w:tcW w:w="415" w:type="pct"/>
            <w:tcBorders>
              <w:left w:val="single" w:sz="4" w:space="0" w:color="auto"/>
              <w:right w:val="single" w:sz="4" w:space="0" w:color="auto"/>
            </w:tcBorders>
            <w:vAlign w:val="center"/>
          </w:tcPr>
          <w:p w14:paraId="12558D20" w14:textId="77777777"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7713BEFE" w14:textId="77777777" w:rsidR="00013004" w:rsidRPr="00ED172B" w:rsidRDefault="00291EA9" w:rsidP="00ED172B">
            <w:pPr>
              <w:jc w:val="center"/>
              <w:rPr>
                <w:color w:val="000000" w:themeColor="text1"/>
              </w:rPr>
            </w:pPr>
            <w:r w:rsidRPr="00ED172B">
              <w:rPr>
                <w:color w:val="000000" w:themeColor="text1"/>
              </w:rPr>
              <w:t>74.58%</w:t>
            </w:r>
          </w:p>
        </w:tc>
        <w:tc>
          <w:tcPr>
            <w:tcW w:w="374" w:type="pct"/>
            <w:tcBorders>
              <w:top w:val="single" w:sz="4" w:space="0" w:color="auto"/>
              <w:left w:val="single" w:sz="4" w:space="0" w:color="auto"/>
              <w:bottom w:val="single" w:sz="4" w:space="0" w:color="auto"/>
              <w:right w:val="single" w:sz="4" w:space="0" w:color="auto"/>
            </w:tcBorders>
            <w:hideMark/>
          </w:tcPr>
          <w:p w14:paraId="4B93033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61EF5961"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96.26%</w:t>
            </w:r>
          </w:p>
        </w:tc>
        <w:tc>
          <w:tcPr>
            <w:tcW w:w="776" w:type="pct"/>
            <w:tcBorders>
              <w:top w:val="single" w:sz="4" w:space="0" w:color="auto"/>
              <w:left w:val="single" w:sz="4" w:space="0" w:color="auto"/>
              <w:bottom w:val="single" w:sz="4" w:space="0" w:color="auto"/>
              <w:right w:val="single" w:sz="4" w:space="0" w:color="auto"/>
            </w:tcBorders>
            <w:vAlign w:val="center"/>
          </w:tcPr>
          <w:p w14:paraId="3644B681"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93.66%</w:t>
            </w:r>
          </w:p>
        </w:tc>
        <w:tc>
          <w:tcPr>
            <w:tcW w:w="776" w:type="pct"/>
            <w:tcBorders>
              <w:top w:val="single" w:sz="4" w:space="0" w:color="auto"/>
              <w:left w:val="single" w:sz="4" w:space="0" w:color="auto"/>
              <w:bottom w:val="single" w:sz="4" w:space="0" w:color="auto"/>
              <w:right w:val="single" w:sz="4" w:space="0" w:color="auto"/>
            </w:tcBorders>
            <w:vAlign w:val="center"/>
          </w:tcPr>
          <w:p w14:paraId="051A4BA8"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94.47%</w:t>
            </w:r>
          </w:p>
        </w:tc>
        <w:tc>
          <w:tcPr>
            <w:tcW w:w="776" w:type="pct"/>
            <w:tcBorders>
              <w:top w:val="single" w:sz="4" w:space="0" w:color="auto"/>
              <w:left w:val="single" w:sz="4" w:space="0" w:color="auto"/>
              <w:bottom w:val="single" w:sz="4" w:space="0" w:color="auto"/>
              <w:right w:val="single" w:sz="4" w:space="0" w:color="auto"/>
            </w:tcBorders>
            <w:vAlign w:val="center"/>
          </w:tcPr>
          <w:p w14:paraId="5CD528DF"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91.30%</w:t>
            </w:r>
          </w:p>
        </w:tc>
        <w:tc>
          <w:tcPr>
            <w:tcW w:w="775" w:type="pct"/>
            <w:tcBorders>
              <w:top w:val="single" w:sz="4" w:space="0" w:color="auto"/>
              <w:left w:val="single" w:sz="4" w:space="0" w:color="auto"/>
              <w:bottom w:val="single" w:sz="4" w:space="0" w:color="auto"/>
              <w:right w:val="single" w:sz="4" w:space="0" w:color="auto"/>
            </w:tcBorders>
            <w:vAlign w:val="center"/>
          </w:tcPr>
          <w:p w14:paraId="788DDFBB" w14:textId="77777777" w:rsidR="00013004" w:rsidRPr="00ED172B" w:rsidRDefault="00860830" w:rsidP="00ED172B">
            <w:pPr>
              <w:jc w:val="center"/>
              <w:rPr>
                <w:rFonts w:cs="Arial"/>
                <w:color w:val="000000" w:themeColor="text1"/>
                <w:szCs w:val="16"/>
              </w:rPr>
            </w:pPr>
            <w:r w:rsidRPr="00ED172B">
              <w:rPr>
                <w:rFonts w:cs="Arial"/>
                <w:color w:val="000000" w:themeColor="text1"/>
                <w:szCs w:val="16"/>
              </w:rPr>
              <w:t>91.27%</w:t>
            </w:r>
          </w:p>
        </w:tc>
      </w:tr>
    </w:tbl>
    <w:p w14:paraId="535D92A2" w14:textId="77777777" w:rsidR="001F545F" w:rsidRPr="00ED172B" w:rsidRDefault="005918D1">
      <w:pPr>
        <w:rPr>
          <w:b/>
          <w:color w:val="000000" w:themeColor="text1"/>
        </w:rPr>
      </w:pPr>
      <w:r w:rsidRPr="00ED172B">
        <w:rPr>
          <w:b/>
          <w:color w:val="000000" w:themeColor="text1"/>
        </w:rPr>
        <w:lastRenderedPageBreak/>
        <w:t>Targets</w:t>
      </w:r>
    </w:p>
    <w:tbl>
      <w:tblPr>
        <w:tblW w:w="1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8"/>
        <w:gridCol w:w="1681"/>
        <w:gridCol w:w="1676"/>
      </w:tblGrid>
      <w:tr w:rsidR="00CF59E2" w:rsidRPr="00ED172B" w14:paraId="065A4F7A" w14:textId="77777777" w:rsidTr="00811738">
        <w:trPr>
          <w:trHeight w:val="350"/>
        </w:trPr>
        <w:tc>
          <w:tcPr>
            <w:tcW w:w="890" w:type="pct"/>
            <w:tcBorders>
              <w:bottom w:val="single" w:sz="4" w:space="0" w:color="auto"/>
            </w:tcBorders>
            <w:vAlign w:val="bottom"/>
          </w:tcPr>
          <w:p w14:paraId="47CF3EC5" w14:textId="77777777" w:rsidR="00CF59E2" w:rsidRPr="00ED172B" w:rsidRDefault="00CF59E2" w:rsidP="008654C9">
            <w:pPr>
              <w:jc w:val="center"/>
              <w:rPr>
                <w:rFonts w:cs="Arial"/>
                <w:b/>
                <w:color w:val="000000" w:themeColor="text1"/>
                <w:szCs w:val="16"/>
              </w:rPr>
            </w:pPr>
            <w:r w:rsidRPr="00ED172B">
              <w:rPr>
                <w:rFonts w:cs="Arial"/>
                <w:b/>
                <w:color w:val="000000" w:themeColor="text1"/>
                <w:szCs w:val="16"/>
              </w:rPr>
              <w:t>FFY</w:t>
            </w:r>
          </w:p>
        </w:tc>
        <w:tc>
          <w:tcPr>
            <w:tcW w:w="2058" w:type="pct"/>
            <w:vAlign w:val="center"/>
          </w:tcPr>
          <w:p w14:paraId="74A7F74F" w14:textId="77777777" w:rsidR="00CF59E2" w:rsidRPr="00ED172B" w:rsidRDefault="00CF59E2" w:rsidP="008654C9">
            <w:pPr>
              <w:jc w:val="center"/>
              <w:rPr>
                <w:rFonts w:cs="Arial"/>
                <w:b/>
                <w:color w:val="000000" w:themeColor="text1"/>
                <w:szCs w:val="16"/>
              </w:rPr>
            </w:pPr>
            <w:r w:rsidRPr="00ED172B">
              <w:rPr>
                <w:rFonts w:cs="Arial"/>
                <w:b/>
                <w:color w:val="000000" w:themeColor="text1"/>
                <w:szCs w:val="16"/>
              </w:rPr>
              <w:t>2024</w:t>
            </w:r>
          </w:p>
        </w:tc>
        <w:tc>
          <w:tcPr>
            <w:tcW w:w="2053" w:type="pct"/>
          </w:tcPr>
          <w:p w14:paraId="6AC7998B" w14:textId="77777777" w:rsidR="00CF59E2" w:rsidRPr="00ED172B" w:rsidRDefault="00CF59E2" w:rsidP="008654C9">
            <w:pPr>
              <w:jc w:val="center"/>
              <w:rPr>
                <w:rFonts w:cs="Arial"/>
                <w:b/>
                <w:color w:val="000000" w:themeColor="text1"/>
                <w:szCs w:val="16"/>
              </w:rPr>
            </w:pPr>
            <w:r>
              <w:rPr>
                <w:rFonts w:cs="Arial"/>
                <w:b/>
                <w:color w:val="000000" w:themeColor="text1"/>
                <w:szCs w:val="16"/>
              </w:rPr>
              <w:t>2025</w:t>
            </w:r>
          </w:p>
        </w:tc>
      </w:tr>
      <w:tr w:rsidR="00CF59E2" w:rsidRPr="00ED172B" w14:paraId="7BF17BE3" w14:textId="77777777" w:rsidTr="00811738">
        <w:trPr>
          <w:trHeight w:val="357"/>
        </w:trPr>
        <w:tc>
          <w:tcPr>
            <w:tcW w:w="890" w:type="pct"/>
          </w:tcPr>
          <w:p w14:paraId="51A7B70A"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A&gt;=</w:t>
            </w:r>
          </w:p>
        </w:tc>
        <w:tc>
          <w:tcPr>
            <w:tcW w:w="2058" w:type="pct"/>
            <w:vAlign w:val="center"/>
          </w:tcPr>
          <w:p w14:paraId="2A25CB8F" w14:textId="77777777" w:rsidR="00CF59E2" w:rsidRPr="00ED172B" w:rsidRDefault="00CF59E2" w:rsidP="002F2336">
            <w:pPr>
              <w:jc w:val="center"/>
              <w:rPr>
                <w:color w:val="000000" w:themeColor="text1"/>
              </w:rPr>
            </w:pPr>
            <w:r w:rsidRPr="00ED172B">
              <w:rPr>
                <w:color w:val="000000" w:themeColor="text1"/>
              </w:rPr>
              <w:t>95.00%</w:t>
            </w:r>
          </w:p>
        </w:tc>
        <w:tc>
          <w:tcPr>
            <w:tcW w:w="2053" w:type="pct"/>
            <w:vAlign w:val="center"/>
          </w:tcPr>
          <w:p w14:paraId="06FEE706" w14:textId="77777777" w:rsidR="00CF59E2" w:rsidRPr="00794BA1" w:rsidRDefault="00CF59E2" w:rsidP="002F2336">
            <w:pPr>
              <w:jc w:val="center"/>
              <w:rPr>
                <w:color w:val="000000" w:themeColor="text1"/>
              </w:rPr>
            </w:pPr>
            <w:r w:rsidRPr="00794BA1">
              <w:rPr>
                <w:color w:val="000000" w:themeColor="text1"/>
              </w:rPr>
              <w:t>95.00%</w:t>
            </w:r>
          </w:p>
        </w:tc>
      </w:tr>
      <w:tr w:rsidR="00CF59E2" w:rsidRPr="00ED172B" w14:paraId="0CA80F72" w14:textId="77777777" w:rsidTr="00811738">
        <w:trPr>
          <w:trHeight w:val="357"/>
        </w:trPr>
        <w:tc>
          <w:tcPr>
            <w:tcW w:w="890" w:type="pct"/>
          </w:tcPr>
          <w:p w14:paraId="7A2AA1D5"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B&gt;=</w:t>
            </w:r>
          </w:p>
        </w:tc>
        <w:tc>
          <w:tcPr>
            <w:tcW w:w="2058" w:type="pct"/>
            <w:vAlign w:val="center"/>
          </w:tcPr>
          <w:p w14:paraId="508F57A6" w14:textId="77777777" w:rsidR="00CF59E2" w:rsidRPr="00ED172B" w:rsidRDefault="00CF59E2" w:rsidP="002F2336">
            <w:pPr>
              <w:jc w:val="center"/>
              <w:rPr>
                <w:color w:val="000000" w:themeColor="text1"/>
              </w:rPr>
            </w:pPr>
            <w:r w:rsidRPr="00ED172B">
              <w:rPr>
                <w:color w:val="000000" w:themeColor="text1"/>
              </w:rPr>
              <w:t>96.00%</w:t>
            </w:r>
          </w:p>
        </w:tc>
        <w:tc>
          <w:tcPr>
            <w:tcW w:w="2053" w:type="pct"/>
            <w:vAlign w:val="center"/>
          </w:tcPr>
          <w:p w14:paraId="26224B1B" w14:textId="77777777" w:rsidR="00CF59E2" w:rsidRPr="00794BA1" w:rsidRDefault="00CF59E2" w:rsidP="002F2336">
            <w:pPr>
              <w:jc w:val="center"/>
              <w:rPr>
                <w:color w:val="000000" w:themeColor="text1"/>
              </w:rPr>
            </w:pPr>
            <w:r w:rsidRPr="00794BA1">
              <w:rPr>
                <w:color w:val="000000" w:themeColor="text1"/>
              </w:rPr>
              <w:t>96.00%</w:t>
            </w:r>
          </w:p>
        </w:tc>
      </w:tr>
      <w:tr w:rsidR="00CF59E2" w:rsidRPr="00ED172B" w14:paraId="404AEECC" w14:textId="77777777" w:rsidTr="00811738">
        <w:trPr>
          <w:trHeight w:val="357"/>
        </w:trPr>
        <w:tc>
          <w:tcPr>
            <w:tcW w:w="890" w:type="pct"/>
          </w:tcPr>
          <w:p w14:paraId="26654A94"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 C&gt;=</w:t>
            </w:r>
          </w:p>
        </w:tc>
        <w:tc>
          <w:tcPr>
            <w:tcW w:w="2058" w:type="pct"/>
            <w:vAlign w:val="center"/>
          </w:tcPr>
          <w:p w14:paraId="16EAD228" w14:textId="77777777" w:rsidR="00CF59E2" w:rsidRPr="00ED172B" w:rsidRDefault="00CF59E2" w:rsidP="002F2336">
            <w:pPr>
              <w:jc w:val="center"/>
              <w:rPr>
                <w:color w:val="000000" w:themeColor="text1"/>
              </w:rPr>
            </w:pPr>
            <w:r w:rsidRPr="00ED172B">
              <w:rPr>
                <w:color w:val="000000" w:themeColor="text1"/>
              </w:rPr>
              <w:t>93.00%</w:t>
            </w:r>
          </w:p>
        </w:tc>
        <w:tc>
          <w:tcPr>
            <w:tcW w:w="2053" w:type="pct"/>
            <w:vAlign w:val="center"/>
          </w:tcPr>
          <w:p w14:paraId="498CF976" w14:textId="77777777" w:rsidR="00CF59E2" w:rsidRPr="00794BA1" w:rsidRDefault="00CF59E2" w:rsidP="002F2336">
            <w:pPr>
              <w:jc w:val="center"/>
              <w:rPr>
                <w:color w:val="000000" w:themeColor="text1"/>
              </w:rPr>
            </w:pPr>
            <w:r w:rsidRPr="00794BA1">
              <w:rPr>
                <w:color w:val="000000" w:themeColor="text1"/>
              </w:rPr>
              <w:t>93.00%</w:t>
            </w:r>
          </w:p>
        </w:tc>
      </w:tr>
    </w:tbl>
    <w:bookmarkEnd w:id="23"/>
    <w:p w14:paraId="15B7D42A" w14:textId="77777777" w:rsidR="00F80C9C" w:rsidRDefault="00F80C9C" w:rsidP="00B83404">
      <w:pPr>
        <w:rPr>
          <w:b/>
          <w:color w:val="000000" w:themeColor="text1"/>
        </w:rPr>
      </w:pPr>
      <w:r w:rsidRPr="00ED172B">
        <w:rPr>
          <w:b/>
          <w:color w:val="000000" w:themeColor="text1"/>
        </w:rPr>
        <w:t xml:space="preserve">Targets: Description of Stakeholder Input </w:t>
      </w:r>
    </w:p>
    <w:p w14:paraId="485310BF" w14:textId="77777777" w:rsidR="00C57F17" w:rsidRDefault="00CF03E0" w:rsidP="00CF03E0">
      <w:pPr>
        <w:rPr>
          <w:color w:val="000000" w:themeColor="text1"/>
        </w:rPr>
      </w:pPr>
      <w:r w:rsidRPr="00ED172B">
        <w:rPr>
          <w:color w:val="000000" w:themeColor="text1"/>
        </w:rPr>
        <w:t>TEIS incorporates broad stakeholder input when addressing areas of need within the system through multiple channels, including:</w:t>
      </w:r>
    </w:p>
    <w:p w14:paraId="35B63FC9" w14:textId="77777777" w:rsidR="007876EE" w:rsidRDefault="007876EE"/>
    <w:p w14:paraId="2BB9D80A" w14:textId="77777777" w:rsidR="007876EE" w:rsidRDefault="00000000">
      <w:r>
        <w:rPr>
          <w:color w:val="000000"/>
        </w:rPr>
        <w:t>-State Interagency Coordinating Council (SICC) membership and attending visitors.</w:t>
      </w:r>
    </w:p>
    <w:p w14:paraId="13A1BF31" w14:textId="77777777" w:rsidR="007876EE" w:rsidRDefault="00000000">
      <w:r>
        <w:rPr>
          <w:color w:val="000000"/>
        </w:rPr>
        <w:t>-TEIS, EIRA, and Vendor Advisory Councils.</w:t>
      </w:r>
    </w:p>
    <w:p w14:paraId="3F30802F" w14:textId="77777777" w:rsidR="007876EE" w:rsidRDefault="00000000">
      <w:r>
        <w:rPr>
          <w:color w:val="000000"/>
        </w:rPr>
        <w:t>-Office Hours sessions.</w:t>
      </w:r>
    </w:p>
    <w:p w14:paraId="42B26C8E" w14:textId="77777777" w:rsidR="007876EE" w:rsidRDefault="00000000">
      <w:r>
        <w:rPr>
          <w:color w:val="000000"/>
        </w:rPr>
        <w:t>-Feedback from family surveys, advocacy groups, and local engagement efforts.</w:t>
      </w:r>
    </w:p>
    <w:p w14:paraId="51FB697D" w14:textId="77777777" w:rsidR="007876EE" w:rsidRDefault="007876EE"/>
    <w:p w14:paraId="350ABB73" w14:textId="77777777" w:rsidR="007876EE" w:rsidRDefault="00000000">
      <w:r>
        <w:rPr>
          <w:color w:val="000000"/>
        </w:rPr>
        <w:t>The TEIS website and department newsletter provide stakeholders with consistent updates on program activities and service delivery.</w:t>
      </w:r>
    </w:p>
    <w:p w14:paraId="77C5F8D9" w14:textId="77777777" w:rsidR="007876EE" w:rsidRDefault="007876EE"/>
    <w:p w14:paraId="00E8A761" w14:textId="77777777" w:rsidR="007876EE" w:rsidRDefault="00000000">
      <w:r>
        <w:rPr>
          <w:color w:val="000000"/>
        </w:rPr>
        <w:t>State Interagency Coordinating Council (SICC)</w:t>
      </w:r>
    </w:p>
    <w:p w14:paraId="7869E22B"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111672BA" w14:textId="77777777" w:rsidR="007876EE" w:rsidRDefault="007876EE"/>
    <w:p w14:paraId="253C0630" w14:textId="77777777" w:rsidR="007876EE" w:rsidRDefault="00000000">
      <w:r>
        <w:rPr>
          <w:color w:val="000000"/>
        </w:rPr>
        <w:t>Meetings are open to the public, and agenda topics can be submitted via the TEIS website. Topics addressed in 2024-25 included:</w:t>
      </w:r>
    </w:p>
    <w:p w14:paraId="0AC63742" w14:textId="77777777" w:rsidR="007876EE" w:rsidRDefault="00000000">
      <w:r>
        <w:rPr>
          <w:color w:val="000000"/>
        </w:rPr>
        <w:t>-HOPE Family Survey results and feedback.</w:t>
      </w:r>
    </w:p>
    <w:p w14:paraId="71428DF4" w14:textId="77777777" w:rsidR="007876EE" w:rsidRDefault="00000000">
      <w:r>
        <w:rPr>
          <w:color w:val="000000"/>
        </w:rPr>
        <w:t>-Results Monitoring.</w:t>
      </w:r>
    </w:p>
    <w:p w14:paraId="214CC593" w14:textId="77777777" w:rsidR="007876EE" w:rsidRDefault="00000000">
      <w:r>
        <w:rPr>
          <w:color w:val="000000"/>
        </w:rPr>
        <w:t>-TEIS Central Office team functions.</w:t>
      </w:r>
    </w:p>
    <w:p w14:paraId="19445CAA" w14:textId="77777777" w:rsidR="007876EE" w:rsidRDefault="00000000">
      <w:r>
        <w:rPr>
          <w:color w:val="000000"/>
        </w:rPr>
        <w:t>-POE initiatives and regional goals.</w:t>
      </w:r>
    </w:p>
    <w:p w14:paraId="6EA3AB70" w14:textId="77777777" w:rsidR="007876EE" w:rsidRDefault="00000000">
      <w:r>
        <w:rPr>
          <w:color w:val="000000"/>
        </w:rPr>
        <w:t>-Other program updates.</w:t>
      </w:r>
    </w:p>
    <w:p w14:paraId="17F4E50C" w14:textId="77777777" w:rsidR="007876EE" w:rsidRDefault="007876EE"/>
    <w:p w14:paraId="2903AC7E" w14:textId="77777777" w:rsidR="007876EE" w:rsidRDefault="00000000">
      <w:r>
        <w:rPr>
          <w:color w:val="000000"/>
        </w:rPr>
        <w:t>Additionally, SICC provided direct feedback to OSEP during Tennessee’s DMS 2.0 audit.</w:t>
      </w:r>
    </w:p>
    <w:p w14:paraId="0CFD1AEB" w14:textId="77777777" w:rsidR="007876EE" w:rsidRDefault="007876EE"/>
    <w:p w14:paraId="64FE653D" w14:textId="77777777" w:rsidR="007876EE" w:rsidRDefault="00000000">
      <w:r>
        <w:rPr>
          <w:color w:val="000000"/>
        </w:rPr>
        <w:t>Advisory Councils</w:t>
      </w:r>
    </w:p>
    <w:p w14:paraId="0E7EB406" w14:textId="77777777" w:rsidR="007876EE" w:rsidRDefault="00000000">
      <w:r>
        <w:rPr>
          <w:color w:val="000000"/>
        </w:rPr>
        <w:t>Two advisory councils serve as key feedback channels:</w:t>
      </w:r>
    </w:p>
    <w:p w14:paraId="2DCCFC02" w14:textId="77777777" w:rsidR="007876EE" w:rsidRDefault="00000000">
      <w:r>
        <w:rPr>
          <w:color w:val="000000"/>
        </w:rPr>
        <w:t>-Early Intervention Resource Agency (EIRA) Advisory Council – Agencies providing developmental therapy.</w:t>
      </w:r>
    </w:p>
    <w:p w14:paraId="2BECAA8D" w14:textId="77777777" w:rsidR="007876EE" w:rsidRDefault="00000000">
      <w:r>
        <w:rPr>
          <w:color w:val="000000"/>
        </w:rPr>
        <w:t>-Vendor Advisory Council – Agencies providing therapy services (speech, physical, occupational).</w:t>
      </w:r>
    </w:p>
    <w:p w14:paraId="3157A430" w14:textId="77777777" w:rsidR="007876EE" w:rsidRDefault="007876EE"/>
    <w:p w14:paraId="0A428B6D" w14:textId="77777777" w:rsidR="007876EE" w:rsidRDefault="00000000">
      <w:r>
        <w:rPr>
          <w:color w:val="000000"/>
        </w:rPr>
        <w:t>Updates from both councils are shared at quarterly SICC meetings. Membership includes contracted EIS provider agencies.</w:t>
      </w:r>
    </w:p>
    <w:p w14:paraId="35EB7ABD" w14:textId="77777777" w:rsidR="007876EE" w:rsidRDefault="007876EE"/>
    <w:p w14:paraId="25D06999" w14:textId="77777777" w:rsidR="007876EE" w:rsidRDefault="00000000">
      <w:r>
        <w:rPr>
          <w:color w:val="000000"/>
        </w:rPr>
        <w:t>EIRA Advisory Council focuses on:</w:t>
      </w:r>
    </w:p>
    <w:p w14:paraId="476FCA41" w14:textId="77777777" w:rsidR="007876EE" w:rsidRDefault="00000000">
      <w:r>
        <w:rPr>
          <w:color w:val="000000"/>
        </w:rPr>
        <w:t>-Improving services for children and families.</w:t>
      </w:r>
    </w:p>
    <w:p w14:paraId="26AEF7E1" w14:textId="77777777" w:rsidR="007876EE" w:rsidRDefault="00000000">
      <w:r>
        <w:rPr>
          <w:color w:val="000000"/>
        </w:rPr>
        <w:t>-Increasing access to services statewide.</w:t>
      </w:r>
    </w:p>
    <w:p w14:paraId="21684B88" w14:textId="77777777" w:rsidR="007876EE" w:rsidRDefault="00000000">
      <w:r>
        <w:rPr>
          <w:color w:val="000000"/>
        </w:rPr>
        <w:t>-Enhancing communication between TEIS and EIRAs.</w:t>
      </w:r>
    </w:p>
    <w:p w14:paraId="39265D40" w14:textId="77777777" w:rsidR="007876EE" w:rsidRDefault="007876EE"/>
    <w:p w14:paraId="0FD4269C"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58D9F7A7" w14:textId="77777777" w:rsidR="007876EE" w:rsidRDefault="007876EE"/>
    <w:p w14:paraId="3CFE985C" w14:textId="77777777" w:rsidR="007876EE" w:rsidRDefault="00000000">
      <w:r>
        <w:rPr>
          <w:color w:val="000000"/>
        </w:rPr>
        <w:t>Vendor Advisory Council collaborates on:</w:t>
      </w:r>
    </w:p>
    <w:p w14:paraId="0E27E155" w14:textId="77777777" w:rsidR="007876EE" w:rsidRDefault="00000000">
      <w:r>
        <w:rPr>
          <w:color w:val="000000"/>
        </w:rPr>
        <w:t>-Issues impacting therapy vendors.</w:t>
      </w:r>
    </w:p>
    <w:p w14:paraId="2AFC408A" w14:textId="77777777" w:rsidR="007876EE" w:rsidRDefault="00000000">
      <w:r>
        <w:rPr>
          <w:color w:val="000000"/>
        </w:rPr>
        <w:t>-Streamlining billing and business processes.</w:t>
      </w:r>
    </w:p>
    <w:p w14:paraId="2A44ACA0" w14:textId="77777777" w:rsidR="007876EE" w:rsidRDefault="00000000">
      <w:r>
        <w:rPr>
          <w:color w:val="000000"/>
        </w:rPr>
        <w:t>-Improving IFSP teaming in partnership with the EIRA Advisory Council.</w:t>
      </w:r>
    </w:p>
    <w:p w14:paraId="279F3C56" w14:textId="77777777" w:rsidR="007876EE" w:rsidRDefault="007876EE"/>
    <w:p w14:paraId="22DA6A4A" w14:textId="77777777" w:rsidR="007876EE" w:rsidRDefault="00000000">
      <w:r>
        <w:rPr>
          <w:color w:val="000000"/>
        </w:rPr>
        <w:t>Council Structure</w:t>
      </w:r>
    </w:p>
    <w:p w14:paraId="302C5174"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2F3DAE4D" w14:textId="77777777" w:rsidR="007876EE" w:rsidRDefault="007876EE"/>
    <w:p w14:paraId="6C548DAC" w14:textId="77777777" w:rsidR="007876EE" w:rsidRDefault="00000000">
      <w:r>
        <w:rPr>
          <w:color w:val="000000"/>
        </w:rPr>
        <w:t>Office Hours</w:t>
      </w:r>
    </w:p>
    <w:p w14:paraId="02CBE730" w14:textId="77777777" w:rsidR="007876EE" w:rsidRDefault="00000000">
      <w:r>
        <w:rPr>
          <w:color w:val="000000"/>
        </w:rPr>
        <w:lastRenderedPageBreak/>
        <w:t>TEIS leadership hosts regular virtual meetings for early intervention providers (EIRAs and vendors) and staff. These sessions promote dialogue, share updates, and gather stakeholder input.</w:t>
      </w:r>
    </w:p>
    <w:p w14:paraId="6370DEE6" w14:textId="77777777" w:rsidR="007876EE" w:rsidRDefault="007876EE"/>
    <w:p w14:paraId="7C23FBD0" w14:textId="77777777" w:rsidR="007876EE" w:rsidRDefault="00000000">
      <w:r>
        <w:rPr>
          <w:color w:val="000000"/>
        </w:rPr>
        <w:t>Parent Engagement</w:t>
      </w:r>
    </w:p>
    <w:p w14:paraId="0B805EBD" w14:textId="77777777" w:rsidR="007876EE" w:rsidRDefault="00000000">
      <w:r>
        <w:rPr>
          <w:color w:val="000000"/>
        </w:rPr>
        <w:t>Stakeholder engagement activities—along with professional development and technical assistance—help build the capacity of parents through:</w:t>
      </w:r>
    </w:p>
    <w:p w14:paraId="56BF3C05" w14:textId="77777777" w:rsidR="007876EE" w:rsidRDefault="00000000">
      <w:r>
        <w:rPr>
          <w:color w:val="000000"/>
        </w:rPr>
        <w:t>-Direct engagement: Participation in SICC or local councils, training sessions, surveys, and direct communication with TEIS leadership.</w:t>
      </w:r>
    </w:p>
    <w:p w14:paraId="016E70F9" w14:textId="77777777" w:rsidR="007876EE" w:rsidRDefault="00000000">
      <w:r>
        <w:rPr>
          <w:color w:val="000000"/>
        </w:rPr>
        <w:t>-Indirect engagement: Training and monitoring systems that strengthen IFSP team members’ knowledge and skills, benefiting children and families.</w:t>
      </w:r>
    </w:p>
    <w:p w14:paraId="04F0BC2E" w14:textId="77777777" w:rsidR="006902F0" w:rsidRPr="00ED172B" w:rsidRDefault="006902F0" w:rsidP="00B83404">
      <w:pPr>
        <w:rPr>
          <w:color w:val="000000" w:themeColor="text1"/>
        </w:rPr>
      </w:pPr>
      <w:r w:rsidRPr="00ED172B">
        <w:rPr>
          <w:rFonts w:cs="Arial"/>
          <w:color w:val="000000" w:themeColor="text1"/>
          <w:szCs w:val="16"/>
        </w:rPr>
        <w:t xml:space="preserve">The TEIS IDEA Implementation Team collaborates with partners to strengthen family engagement and improve outcomes, including enhancing the survey process. In 2024–25, TEIS collected and analyzed all feedback from families through the annual survey, conducting a thorough review of responses to identify actionable insights.  These findings were shared with POE leadership, POE staff, TEIS leadership, and other stakeholders to guide improvements in services and </w:t>
      </w:r>
      <w:proofErr w:type="gramStart"/>
      <w:r w:rsidRPr="00ED172B">
        <w:rPr>
          <w:rFonts w:cs="Arial"/>
          <w:color w:val="000000" w:themeColor="text1"/>
          <w:szCs w:val="16"/>
        </w:rPr>
        <w:t>supports</w:t>
      </w:r>
      <w:proofErr w:type="gramEnd"/>
      <w:r w:rsidRPr="00ED172B">
        <w:rPr>
          <w:rFonts w:cs="Arial"/>
          <w:color w:val="000000" w:themeColor="text1"/>
          <w:szCs w:val="16"/>
        </w:rPr>
        <w:t xml:space="preserve"> for children and families. Examples of actions taken in response to the input received from families in 2024-25 include updates to staff training and family resources and planned revisions to the State Systemic Improvement Plan described in Indicator 11. </w:t>
      </w:r>
    </w:p>
    <w:p w14:paraId="226FDB46" w14:textId="77777777" w:rsidR="007876EE" w:rsidRDefault="007876EE"/>
    <w:p w14:paraId="383BD1FF" w14:textId="77777777" w:rsidR="007876EE" w:rsidRDefault="00000000">
      <w:r>
        <w:rPr>
          <w:color w:val="000000"/>
        </w:rPr>
        <w:t>Ahead of the 2025–26 survey cycle, TEIS met with POE and TEIS leadership to gather input aimed at improving both the collection process and the overall effectiveness of the upcoming survey.</w:t>
      </w:r>
    </w:p>
    <w:p w14:paraId="69F3FBB6" w14:textId="77777777" w:rsidR="007011EC" w:rsidRPr="00ED172B" w:rsidRDefault="007011EC" w:rsidP="00F80C9C">
      <w:pPr>
        <w:rPr>
          <w:rFonts w:cs="Arial"/>
          <w:color w:val="000000" w:themeColor="text1"/>
          <w:szCs w:val="16"/>
        </w:rPr>
      </w:pPr>
    </w:p>
    <w:p w14:paraId="500C75FE" w14:textId="77777777" w:rsidR="004D140B"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9355"/>
        <w:gridCol w:w="1435"/>
      </w:tblGrid>
      <w:tr w:rsidR="00ED172B" w:rsidRPr="00ED172B" w14:paraId="4A586807" w14:textId="77777777" w:rsidTr="00186420">
        <w:trPr>
          <w:trHeight w:val="20"/>
        </w:trPr>
        <w:tc>
          <w:tcPr>
            <w:tcW w:w="4335" w:type="pct"/>
            <w:vAlign w:val="center"/>
          </w:tcPr>
          <w:p w14:paraId="09177B4D" w14:textId="77777777" w:rsidR="00FB7AE9" w:rsidRPr="00ED172B" w:rsidRDefault="004E1A9D" w:rsidP="00FB7AE9">
            <w:pPr>
              <w:rPr>
                <w:rFonts w:cs="Arial"/>
                <w:color w:val="000000" w:themeColor="text1"/>
                <w:szCs w:val="16"/>
              </w:rPr>
            </w:pPr>
            <w:bookmarkStart w:id="24" w:name="_Toc392159275"/>
            <w:bookmarkStart w:id="25" w:name="_Toc382082367"/>
            <w:bookmarkStart w:id="26" w:name="_Toc392159276"/>
            <w:r w:rsidRPr="00ED172B">
              <w:rPr>
                <w:rFonts w:cs="Arial"/>
                <w:color w:val="000000" w:themeColor="text1"/>
                <w:szCs w:val="16"/>
              </w:rPr>
              <w:t>The number of families to whom surveys were distributed</w:t>
            </w:r>
          </w:p>
        </w:tc>
        <w:tc>
          <w:tcPr>
            <w:tcW w:w="665" w:type="pct"/>
            <w:vAlign w:val="center"/>
          </w:tcPr>
          <w:p w14:paraId="64E1ED45" w14:textId="77777777" w:rsidR="00FB7AE9" w:rsidRPr="00ED172B" w:rsidRDefault="00860830" w:rsidP="00FB7AE9">
            <w:pPr>
              <w:jc w:val="center"/>
              <w:rPr>
                <w:rFonts w:cs="Arial"/>
                <w:color w:val="000000" w:themeColor="text1"/>
                <w:szCs w:val="16"/>
              </w:rPr>
            </w:pPr>
            <w:r w:rsidRPr="00ED172B">
              <w:rPr>
                <w:rFonts w:cs="Arial"/>
                <w:color w:val="000000" w:themeColor="text1"/>
                <w:szCs w:val="16"/>
              </w:rPr>
              <w:t>8,382</w:t>
            </w:r>
          </w:p>
        </w:tc>
      </w:tr>
      <w:tr w:rsidR="00ED172B" w:rsidRPr="00ED172B" w14:paraId="3BB1DEA5" w14:textId="77777777" w:rsidTr="00186420">
        <w:trPr>
          <w:trHeight w:val="20"/>
        </w:trPr>
        <w:tc>
          <w:tcPr>
            <w:tcW w:w="4335" w:type="pct"/>
            <w:vAlign w:val="center"/>
          </w:tcPr>
          <w:p w14:paraId="3C9BA6F7" w14:textId="77777777"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vAlign w:val="center"/>
          </w:tcPr>
          <w:p w14:paraId="3A612414" w14:textId="77777777" w:rsidR="004E1A9D" w:rsidRPr="00ED172B" w:rsidRDefault="00860830" w:rsidP="00014550">
            <w:pPr>
              <w:jc w:val="center"/>
              <w:rPr>
                <w:rFonts w:cs="Arial"/>
                <w:color w:val="000000" w:themeColor="text1"/>
                <w:szCs w:val="16"/>
              </w:rPr>
            </w:pPr>
            <w:r w:rsidRPr="00ED172B">
              <w:rPr>
                <w:rFonts w:cs="Arial"/>
                <w:color w:val="000000" w:themeColor="text1"/>
                <w:szCs w:val="16"/>
              </w:rPr>
              <w:t>7,783</w:t>
            </w:r>
          </w:p>
        </w:tc>
      </w:tr>
      <w:tr w:rsidR="001B1139" w:rsidRPr="00ED172B" w14:paraId="369C7DFF" w14:textId="77777777" w:rsidTr="00186420">
        <w:trPr>
          <w:trHeight w:val="20"/>
        </w:trPr>
        <w:tc>
          <w:tcPr>
            <w:tcW w:w="4335" w:type="pct"/>
            <w:vAlign w:val="center"/>
          </w:tcPr>
          <w:p w14:paraId="31B72F71" w14:textId="7777777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vAlign w:val="center"/>
          </w:tcPr>
          <w:p w14:paraId="5BA3D12C" w14:textId="77777777" w:rsidR="001B1139" w:rsidRPr="00ED172B" w:rsidRDefault="001B1139">
            <w:pPr>
              <w:jc w:val="center"/>
              <w:rPr>
                <w:rFonts w:cs="Arial"/>
                <w:color w:val="000000" w:themeColor="text1"/>
                <w:szCs w:val="16"/>
              </w:rPr>
            </w:pPr>
            <w:r w:rsidRPr="00ED172B">
              <w:rPr>
                <w:rFonts w:cs="Arial"/>
                <w:color w:val="000000" w:themeColor="text1"/>
                <w:szCs w:val="16"/>
              </w:rPr>
              <w:t>92.85%</w:t>
            </w:r>
          </w:p>
        </w:tc>
      </w:tr>
      <w:tr w:rsidR="00ED172B" w:rsidRPr="00ED172B" w14:paraId="793B4212" w14:textId="77777777" w:rsidTr="00186420">
        <w:trPr>
          <w:trHeight w:val="20"/>
        </w:trPr>
        <w:tc>
          <w:tcPr>
            <w:tcW w:w="4335" w:type="pct"/>
            <w:vAlign w:val="center"/>
          </w:tcPr>
          <w:p w14:paraId="2C9A6087"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vAlign w:val="center"/>
          </w:tcPr>
          <w:p w14:paraId="3975DA0F" w14:textId="77777777" w:rsidR="003020A9" w:rsidRPr="00ED172B" w:rsidRDefault="00860830">
            <w:pPr>
              <w:jc w:val="center"/>
              <w:rPr>
                <w:rFonts w:cs="Arial"/>
                <w:color w:val="000000" w:themeColor="text1"/>
                <w:szCs w:val="16"/>
              </w:rPr>
            </w:pPr>
            <w:r w:rsidRPr="00ED172B">
              <w:rPr>
                <w:rFonts w:cs="Arial"/>
                <w:color w:val="000000" w:themeColor="text1"/>
                <w:szCs w:val="16"/>
              </w:rPr>
              <w:t>7,359</w:t>
            </w:r>
          </w:p>
        </w:tc>
      </w:tr>
      <w:tr w:rsidR="00ED172B" w:rsidRPr="00ED172B" w14:paraId="777DDB0C" w14:textId="77777777" w:rsidTr="00186420">
        <w:trPr>
          <w:trHeight w:val="20"/>
        </w:trPr>
        <w:tc>
          <w:tcPr>
            <w:tcW w:w="4335" w:type="pct"/>
            <w:vAlign w:val="center"/>
          </w:tcPr>
          <w:p w14:paraId="71629776"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vAlign w:val="center"/>
          </w:tcPr>
          <w:p w14:paraId="6E596B7F" w14:textId="77777777" w:rsidR="003020A9" w:rsidRPr="00ED172B" w:rsidRDefault="00860830">
            <w:pPr>
              <w:jc w:val="center"/>
              <w:rPr>
                <w:rFonts w:cs="Arial"/>
                <w:color w:val="000000" w:themeColor="text1"/>
                <w:szCs w:val="16"/>
              </w:rPr>
            </w:pPr>
            <w:r w:rsidRPr="00ED172B">
              <w:rPr>
                <w:rFonts w:cs="Arial"/>
                <w:color w:val="000000" w:themeColor="text1"/>
                <w:szCs w:val="16"/>
              </w:rPr>
              <w:t>7,783</w:t>
            </w:r>
          </w:p>
        </w:tc>
      </w:tr>
      <w:tr w:rsidR="00ED172B" w:rsidRPr="00ED172B" w14:paraId="1A79A0CF" w14:textId="77777777" w:rsidTr="00186420">
        <w:trPr>
          <w:trHeight w:val="20"/>
        </w:trPr>
        <w:tc>
          <w:tcPr>
            <w:tcW w:w="4335" w:type="pct"/>
            <w:vAlign w:val="center"/>
          </w:tcPr>
          <w:p w14:paraId="32495B90"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vAlign w:val="center"/>
          </w:tcPr>
          <w:p w14:paraId="434A750F" w14:textId="77777777" w:rsidR="003020A9" w:rsidRPr="00ED172B" w:rsidRDefault="00860830">
            <w:pPr>
              <w:jc w:val="center"/>
              <w:rPr>
                <w:rFonts w:cs="Arial"/>
                <w:color w:val="000000" w:themeColor="text1"/>
                <w:szCs w:val="16"/>
              </w:rPr>
            </w:pPr>
            <w:r w:rsidRPr="00ED172B">
              <w:rPr>
                <w:rFonts w:cs="Arial"/>
                <w:color w:val="000000" w:themeColor="text1"/>
                <w:szCs w:val="16"/>
              </w:rPr>
              <w:t>7,339</w:t>
            </w:r>
          </w:p>
        </w:tc>
      </w:tr>
      <w:tr w:rsidR="00ED172B" w:rsidRPr="00ED172B" w14:paraId="1D0450B0" w14:textId="77777777" w:rsidTr="00186420">
        <w:trPr>
          <w:trHeight w:val="20"/>
        </w:trPr>
        <w:tc>
          <w:tcPr>
            <w:tcW w:w="4335" w:type="pct"/>
            <w:vAlign w:val="center"/>
          </w:tcPr>
          <w:p w14:paraId="471AEF4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vAlign w:val="center"/>
          </w:tcPr>
          <w:p w14:paraId="6F5B4F76" w14:textId="77777777" w:rsidR="003020A9" w:rsidRPr="00ED172B" w:rsidRDefault="00860830">
            <w:pPr>
              <w:jc w:val="center"/>
              <w:rPr>
                <w:rFonts w:cs="Arial"/>
                <w:color w:val="000000" w:themeColor="text1"/>
                <w:szCs w:val="16"/>
              </w:rPr>
            </w:pPr>
            <w:r w:rsidRPr="00ED172B">
              <w:rPr>
                <w:rFonts w:cs="Arial"/>
                <w:color w:val="000000" w:themeColor="text1"/>
                <w:szCs w:val="16"/>
              </w:rPr>
              <w:t>7,783</w:t>
            </w:r>
          </w:p>
        </w:tc>
      </w:tr>
      <w:tr w:rsidR="00ED172B" w:rsidRPr="00ED172B" w14:paraId="71D4F0CC" w14:textId="77777777" w:rsidTr="00186420">
        <w:trPr>
          <w:trHeight w:val="20"/>
        </w:trPr>
        <w:tc>
          <w:tcPr>
            <w:tcW w:w="4335" w:type="pct"/>
            <w:vAlign w:val="center"/>
          </w:tcPr>
          <w:p w14:paraId="49983C4A"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vAlign w:val="center"/>
          </w:tcPr>
          <w:p w14:paraId="704DC03E" w14:textId="77777777" w:rsidR="003020A9" w:rsidRPr="00ED172B" w:rsidRDefault="00860830">
            <w:pPr>
              <w:jc w:val="center"/>
              <w:rPr>
                <w:rFonts w:cs="Arial"/>
                <w:color w:val="000000" w:themeColor="text1"/>
                <w:szCs w:val="16"/>
              </w:rPr>
            </w:pPr>
            <w:r w:rsidRPr="00ED172B">
              <w:rPr>
                <w:rFonts w:cs="Arial"/>
                <w:color w:val="000000" w:themeColor="text1"/>
                <w:szCs w:val="16"/>
              </w:rPr>
              <w:t>7,121</w:t>
            </w:r>
          </w:p>
        </w:tc>
      </w:tr>
      <w:tr w:rsidR="003020A9" w:rsidRPr="00ED172B" w14:paraId="082AA4D7" w14:textId="77777777" w:rsidTr="00186420">
        <w:trPr>
          <w:trHeight w:val="20"/>
        </w:trPr>
        <w:tc>
          <w:tcPr>
            <w:tcW w:w="4335" w:type="pct"/>
            <w:vAlign w:val="center"/>
          </w:tcPr>
          <w:p w14:paraId="1126C011"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vAlign w:val="center"/>
          </w:tcPr>
          <w:p w14:paraId="16A30CB1" w14:textId="77777777" w:rsidR="003020A9" w:rsidRPr="00ED172B" w:rsidRDefault="00860830">
            <w:pPr>
              <w:jc w:val="center"/>
              <w:rPr>
                <w:rFonts w:cs="Arial"/>
                <w:color w:val="000000" w:themeColor="text1"/>
                <w:szCs w:val="16"/>
              </w:rPr>
            </w:pPr>
            <w:r w:rsidRPr="00ED172B">
              <w:rPr>
                <w:rFonts w:cs="Arial"/>
                <w:color w:val="000000" w:themeColor="text1"/>
                <w:szCs w:val="16"/>
              </w:rPr>
              <w:t>7,783</w:t>
            </w:r>
          </w:p>
        </w:tc>
      </w:tr>
    </w:tbl>
    <w:p w14:paraId="67028AF8"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4B524BF1" w14:textId="77777777" w:rsidTr="00986B99">
        <w:trPr>
          <w:trHeight w:val="354"/>
          <w:tblHeader/>
        </w:trPr>
        <w:tc>
          <w:tcPr>
            <w:tcW w:w="2041" w:type="pct"/>
            <w:vAlign w:val="bottom"/>
          </w:tcPr>
          <w:p w14:paraId="679A3524" w14:textId="77777777"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vAlign w:val="bottom"/>
          </w:tcPr>
          <w:p w14:paraId="21F5993F" w14:textId="77777777" w:rsidR="004B755C" w:rsidRPr="00ED172B" w:rsidRDefault="00CD74B5" w:rsidP="004B755C">
            <w:pPr>
              <w:jc w:val="center"/>
              <w:rPr>
                <w:rFonts w:cs="Arial"/>
                <w:b/>
                <w:color w:val="000000" w:themeColor="text1"/>
                <w:szCs w:val="16"/>
              </w:rPr>
            </w:pPr>
            <w:r>
              <w:rPr>
                <w:rFonts w:cs="Arial"/>
                <w:b/>
                <w:color w:val="000000" w:themeColor="text1"/>
                <w:szCs w:val="16"/>
              </w:rPr>
              <w:t>FFY 2023 Data</w:t>
            </w:r>
          </w:p>
        </w:tc>
        <w:tc>
          <w:tcPr>
            <w:tcW w:w="626" w:type="pct"/>
            <w:vAlign w:val="bottom"/>
          </w:tcPr>
          <w:p w14:paraId="6604C054" w14:textId="77777777" w:rsidR="004B755C" w:rsidRPr="00ED172B" w:rsidRDefault="00F22D09" w:rsidP="004B755C">
            <w:pPr>
              <w:jc w:val="center"/>
              <w:rPr>
                <w:rFonts w:cs="Arial"/>
                <w:b/>
                <w:color w:val="000000" w:themeColor="text1"/>
                <w:szCs w:val="16"/>
              </w:rPr>
            </w:pPr>
            <w:r>
              <w:rPr>
                <w:rFonts w:cs="Arial"/>
                <w:b/>
                <w:color w:val="000000" w:themeColor="text1"/>
                <w:szCs w:val="16"/>
              </w:rPr>
              <w:t>FFY 2024 Target</w:t>
            </w:r>
          </w:p>
        </w:tc>
        <w:tc>
          <w:tcPr>
            <w:tcW w:w="667" w:type="pct"/>
            <w:vAlign w:val="bottom"/>
          </w:tcPr>
          <w:p w14:paraId="5F534A6E" w14:textId="77777777" w:rsidR="004B755C" w:rsidRPr="00ED172B" w:rsidRDefault="00F22D09" w:rsidP="004B755C">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195B37BA" w14:textId="77777777"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vAlign w:val="bottom"/>
          </w:tcPr>
          <w:p w14:paraId="5B75A546" w14:textId="7777777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797D7F4B" w14:textId="77777777" w:rsidTr="00986B99">
        <w:trPr>
          <w:trHeight w:val="361"/>
        </w:trPr>
        <w:tc>
          <w:tcPr>
            <w:tcW w:w="2041" w:type="pct"/>
            <w:vAlign w:val="center"/>
          </w:tcPr>
          <w:p w14:paraId="2F382A67" w14:textId="77777777" w:rsidR="00D20529" w:rsidRPr="00ED172B" w:rsidRDefault="00D20529" w:rsidP="00186420">
            <w:pPr>
              <w:rPr>
                <w:rFonts w:cs="Arial"/>
                <w:color w:val="000000" w:themeColor="text1"/>
                <w:szCs w:val="16"/>
              </w:rPr>
            </w:pPr>
            <w:r w:rsidRPr="00ED172B">
              <w:rPr>
                <w:rFonts w:cs="Arial"/>
                <w:color w:val="000000" w:themeColor="text1"/>
                <w:szCs w:val="16"/>
              </w:rPr>
              <w:t xml:space="preserve">A. Percent of families participating in Part </w:t>
            </w:r>
            <w:proofErr w:type="gramStart"/>
            <w:r w:rsidRPr="00ED172B">
              <w:rPr>
                <w:rFonts w:cs="Arial"/>
                <w:color w:val="000000" w:themeColor="text1"/>
                <w:szCs w:val="16"/>
              </w:rPr>
              <w:t>C who</w:t>
            </w:r>
            <w:proofErr w:type="gramEnd"/>
            <w:r w:rsidRPr="00ED172B">
              <w:rPr>
                <w:rFonts w:cs="Arial"/>
                <w:color w:val="000000" w:themeColor="text1"/>
                <w:szCs w:val="16"/>
              </w:rPr>
              <w:t xml:space="preserve"> report that early intervention services have helped the family know their rights (A1 divided by A2)</w:t>
            </w:r>
          </w:p>
        </w:tc>
        <w:tc>
          <w:tcPr>
            <w:tcW w:w="626" w:type="pct"/>
            <w:vAlign w:val="center"/>
          </w:tcPr>
          <w:p w14:paraId="18BF80B2"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94.10%</w:t>
            </w:r>
          </w:p>
        </w:tc>
        <w:tc>
          <w:tcPr>
            <w:tcW w:w="626" w:type="pct"/>
            <w:vAlign w:val="center"/>
          </w:tcPr>
          <w:p w14:paraId="05B8E6E3" w14:textId="77777777" w:rsidR="00D20529" w:rsidRPr="00ED172B" w:rsidRDefault="00291EA9" w:rsidP="00291EA9">
            <w:pPr>
              <w:jc w:val="center"/>
              <w:rPr>
                <w:color w:val="000000" w:themeColor="text1"/>
              </w:rPr>
            </w:pPr>
            <w:r w:rsidRPr="00ED172B">
              <w:rPr>
                <w:color w:val="000000" w:themeColor="text1"/>
              </w:rPr>
              <w:t>95.00%</w:t>
            </w:r>
          </w:p>
        </w:tc>
        <w:tc>
          <w:tcPr>
            <w:tcW w:w="667" w:type="pct"/>
            <w:vAlign w:val="center"/>
          </w:tcPr>
          <w:p w14:paraId="217E4B1D"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94.55%</w:t>
            </w:r>
          </w:p>
        </w:tc>
        <w:tc>
          <w:tcPr>
            <w:tcW w:w="542" w:type="pct"/>
            <w:vAlign w:val="center"/>
          </w:tcPr>
          <w:p w14:paraId="0514574E"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7865EE8D"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183BBE2C" w14:textId="77777777" w:rsidTr="00986B99">
        <w:trPr>
          <w:trHeight w:val="361"/>
        </w:trPr>
        <w:tc>
          <w:tcPr>
            <w:tcW w:w="2041" w:type="pct"/>
            <w:vAlign w:val="center"/>
          </w:tcPr>
          <w:p w14:paraId="5E896BFC" w14:textId="77777777"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vAlign w:val="center"/>
          </w:tcPr>
          <w:p w14:paraId="5900999B"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93.98%</w:t>
            </w:r>
          </w:p>
        </w:tc>
        <w:tc>
          <w:tcPr>
            <w:tcW w:w="626" w:type="pct"/>
            <w:vAlign w:val="center"/>
          </w:tcPr>
          <w:p w14:paraId="0711C134" w14:textId="77777777" w:rsidR="00D20529" w:rsidRPr="00ED172B" w:rsidRDefault="00291EA9" w:rsidP="00291EA9">
            <w:pPr>
              <w:jc w:val="center"/>
              <w:rPr>
                <w:color w:val="000000" w:themeColor="text1"/>
              </w:rPr>
            </w:pPr>
            <w:r w:rsidRPr="00ED172B">
              <w:rPr>
                <w:color w:val="000000" w:themeColor="text1"/>
              </w:rPr>
              <w:t>96.00%</w:t>
            </w:r>
          </w:p>
        </w:tc>
        <w:tc>
          <w:tcPr>
            <w:tcW w:w="667" w:type="pct"/>
            <w:vAlign w:val="center"/>
          </w:tcPr>
          <w:p w14:paraId="4F2D9EF6"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94.30%</w:t>
            </w:r>
          </w:p>
        </w:tc>
        <w:tc>
          <w:tcPr>
            <w:tcW w:w="542" w:type="pct"/>
            <w:vAlign w:val="center"/>
          </w:tcPr>
          <w:p w14:paraId="2438309D"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1AADCA6F"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6C42EEAF" w14:textId="77777777" w:rsidTr="00986B99">
        <w:trPr>
          <w:trHeight w:val="361"/>
        </w:trPr>
        <w:tc>
          <w:tcPr>
            <w:tcW w:w="2041" w:type="pct"/>
            <w:vAlign w:val="center"/>
          </w:tcPr>
          <w:p w14:paraId="46FB5A27" w14:textId="77777777"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vAlign w:val="center"/>
          </w:tcPr>
          <w:p w14:paraId="33BE5E8A"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91.27%</w:t>
            </w:r>
          </w:p>
        </w:tc>
        <w:tc>
          <w:tcPr>
            <w:tcW w:w="626" w:type="pct"/>
            <w:vAlign w:val="center"/>
          </w:tcPr>
          <w:p w14:paraId="293D9BD7" w14:textId="77777777" w:rsidR="00D20529" w:rsidRPr="00ED172B" w:rsidRDefault="00291EA9" w:rsidP="00291EA9">
            <w:pPr>
              <w:jc w:val="center"/>
              <w:rPr>
                <w:color w:val="000000" w:themeColor="text1"/>
              </w:rPr>
            </w:pPr>
            <w:r w:rsidRPr="00ED172B">
              <w:rPr>
                <w:color w:val="000000" w:themeColor="text1"/>
              </w:rPr>
              <w:t>93.00%</w:t>
            </w:r>
          </w:p>
        </w:tc>
        <w:tc>
          <w:tcPr>
            <w:tcW w:w="667" w:type="pct"/>
            <w:vAlign w:val="center"/>
          </w:tcPr>
          <w:p w14:paraId="3B905A6D"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91.49%</w:t>
            </w:r>
          </w:p>
        </w:tc>
        <w:tc>
          <w:tcPr>
            <w:tcW w:w="542" w:type="pct"/>
            <w:vAlign w:val="center"/>
          </w:tcPr>
          <w:p w14:paraId="2BE9E0D7"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46635865" w14:textId="77777777"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bl>
    <w:p w14:paraId="5ECBA12A" w14:textId="77777777"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035F0AF4" w14:textId="77777777" w:rsidTr="00A40EE1">
        <w:trPr>
          <w:tblHeader/>
        </w:trPr>
        <w:tc>
          <w:tcPr>
            <w:tcW w:w="3960" w:type="pct"/>
            <w:tcBorders>
              <w:top w:val="single" w:sz="4" w:space="0" w:color="auto"/>
              <w:left w:val="single" w:sz="4" w:space="0" w:color="auto"/>
            </w:tcBorders>
          </w:tcPr>
          <w:p w14:paraId="44F2B02F" w14:textId="77777777"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2D5DD271"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121D84A3" w14:textId="77777777" w:rsidTr="00186420">
        <w:tc>
          <w:tcPr>
            <w:tcW w:w="3960" w:type="pct"/>
          </w:tcPr>
          <w:p w14:paraId="7033D435"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F60DD7C" w14:textId="77777777"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11762999"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2"/>
        <w:gridCol w:w="2268"/>
      </w:tblGrid>
      <w:tr w:rsidR="00ED172B" w:rsidRPr="00ED172B" w14:paraId="5FB453A1" w14:textId="77777777" w:rsidTr="002167E3">
        <w:trPr>
          <w:tblHeader/>
        </w:trPr>
        <w:tc>
          <w:tcPr>
            <w:tcW w:w="3949" w:type="pct"/>
            <w:tcBorders>
              <w:top w:val="single" w:sz="4" w:space="0" w:color="auto"/>
              <w:left w:val="single" w:sz="4" w:space="0" w:color="auto"/>
            </w:tcBorders>
          </w:tcPr>
          <w:p w14:paraId="7D2697E3" w14:textId="77777777"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1" w:type="pct"/>
            <w:tcBorders>
              <w:top w:val="single" w:sz="4" w:space="0" w:color="auto"/>
            </w:tcBorders>
          </w:tcPr>
          <w:p w14:paraId="4C9DE057"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40BD48A0" w14:textId="77777777" w:rsidTr="002167E3">
        <w:tc>
          <w:tcPr>
            <w:tcW w:w="3949" w:type="pct"/>
          </w:tcPr>
          <w:p w14:paraId="23F92227" w14:textId="77777777"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1" w:type="pct"/>
          </w:tcPr>
          <w:p w14:paraId="27A003C4" w14:textId="77777777"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36F65FBE" w14:textId="77777777" w:rsidTr="002167E3">
        <w:tc>
          <w:tcPr>
            <w:tcW w:w="3949" w:type="pct"/>
          </w:tcPr>
          <w:p w14:paraId="3897F479"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1" w:type="pct"/>
          </w:tcPr>
          <w:p w14:paraId="388A9156" w14:textId="77777777"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24C3CB26" w14:textId="77777777" w:rsidR="00437F97" w:rsidRDefault="00437F97" w:rsidP="00437F97">
      <w:pPr>
        <w:rPr>
          <w:rFonts w:cs="Arial"/>
          <w:b/>
          <w:color w:val="000000" w:themeColor="text1"/>
          <w:szCs w:val="16"/>
        </w:rPr>
      </w:pPr>
    </w:p>
    <w:p w14:paraId="06554374" w14:textId="77777777"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3FCDDEFB" w14:textId="77777777" w:rsidTr="0055373D">
        <w:trPr>
          <w:trHeight w:val="350"/>
        </w:trPr>
        <w:tc>
          <w:tcPr>
            <w:tcW w:w="888" w:type="pct"/>
            <w:tcBorders>
              <w:bottom w:val="single" w:sz="4" w:space="0" w:color="auto"/>
            </w:tcBorders>
            <w:vAlign w:val="bottom"/>
          </w:tcPr>
          <w:p w14:paraId="10097A08"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vAlign w:val="center"/>
          </w:tcPr>
          <w:p w14:paraId="569B43EB"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2023</w:t>
            </w:r>
          </w:p>
        </w:tc>
        <w:tc>
          <w:tcPr>
            <w:tcW w:w="2056" w:type="pct"/>
          </w:tcPr>
          <w:p w14:paraId="1D89855C" w14:textId="77777777" w:rsidR="00550FC1" w:rsidRPr="00ED172B" w:rsidRDefault="00550FC1" w:rsidP="00B073DB">
            <w:pPr>
              <w:jc w:val="center"/>
              <w:rPr>
                <w:rFonts w:cs="Arial"/>
                <w:b/>
                <w:color w:val="000000" w:themeColor="text1"/>
                <w:szCs w:val="16"/>
              </w:rPr>
            </w:pPr>
            <w:r>
              <w:rPr>
                <w:rFonts w:cs="Arial"/>
                <w:b/>
                <w:color w:val="000000" w:themeColor="text1"/>
                <w:szCs w:val="16"/>
              </w:rPr>
              <w:t>2024</w:t>
            </w:r>
          </w:p>
        </w:tc>
      </w:tr>
      <w:tr w:rsidR="00550FC1" w:rsidRPr="00794BA1" w14:paraId="2C30C19B" w14:textId="77777777" w:rsidTr="0055373D">
        <w:trPr>
          <w:trHeight w:val="357"/>
        </w:trPr>
        <w:tc>
          <w:tcPr>
            <w:tcW w:w="888" w:type="pct"/>
          </w:tcPr>
          <w:p w14:paraId="57F024BD" w14:textId="7777777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vAlign w:val="center"/>
          </w:tcPr>
          <w:p w14:paraId="32BE5388" w14:textId="77777777" w:rsidR="00550FC1" w:rsidRPr="00ED172B" w:rsidRDefault="00550FC1" w:rsidP="00B073DB">
            <w:pPr>
              <w:jc w:val="center"/>
              <w:rPr>
                <w:color w:val="000000" w:themeColor="text1"/>
              </w:rPr>
            </w:pPr>
            <w:r w:rsidRPr="00ED172B">
              <w:rPr>
                <w:color w:val="000000" w:themeColor="text1"/>
              </w:rPr>
              <w:t>89.89%</w:t>
            </w:r>
          </w:p>
        </w:tc>
        <w:tc>
          <w:tcPr>
            <w:tcW w:w="2056" w:type="pct"/>
            <w:vAlign w:val="center"/>
          </w:tcPr>
          <w:p w14:paraId="4A975F53" w14:textId="77777777" w:rsidR="00550FC1" w:rsidRPr="00794BA1" w:rsidRDefault="00550FC1" w:rsidP="00B073DB">
            <w:pPr>
              <w:jc w:val="center"/>
              <w:rPr>
                <w:color w:val="000000" w:themeColor="text1"/>
              </w:rPr>
            </w:pPr>
            <w:r w:rsidRPr="00794BA1">
              <w:rPr>
                <w:color w:val="000000" w:themeColor="text1"/>
              </w:rPr>
              <w:t>92.85%</w:t>
            </w:r>
          </w:p>
        </w:tc>
      </w:tr>
    </w:tbl>
    <w:p w14:paraId="6580119A" w14:textId="77777777" w:rsidR="00BD192E" w:rsidRDefault="00BD192E" w:rsidP="00437F97">
      <w:pPr>
        <w:rPr>
          <w:rFonts w:cs="Arial"/>
          <w:b/>
          <w:color w:val="000000" w:themeColor="text1"/>
          <w:szCs w:val="16"/>
        </w:rPr>
      </w:pPr>
    </w:p>
    <w:p w14:paraId="7D3026EB" w14:textId="77777777" w:rsidR="00437F97" w:rsidRPr="005E75A0" w:rsidRDefault="6D93630C" w:rsidP="7116EC8A">
      <w:pPr>
        <w:rPr>
          <w:rFonts w:cs="Arial"/>
          <w:b/>
          <w:bCs/>
          <w:color w:val="000000" w:themeColor="text1"/>
        </w:rPr>
      </w:pPr>
      <w:r w:rsidRPr="7116EC8A">
        <w:rPr>
          <w:rFonts w:cs="Arial"/>
          <w:b/>
          <w:bCs/>
          <w:color w:val="000000" w:themeColor="text1"/>
        </w:rPr>
        <w:lastRenderedPageBreak/>
        <w:t>Describe the metric used to determine representativeness (e.g., +/- 3% discrepancy in the proportion of responders compared to target group).</w:t>
      </w:r>
    </w:p>
    <w:p w14:paraId="3B520DBE" w14:textId="77777777" w:rsidR="00437F97" w:rsidRPr="00F85A5B" w:rsidRDefault="00437F97" w:rsidP="00437F97">
      <w:pPr>
        <w:rPr>
          <w:rFonts w:cs="Arial"/>
          <w:color w:val="000000" w:themeColor="text1"/>
          <w:szCs w:val="16"/>
        </w:rPr>
      </w:pPr>
      <w:r w:rsidRPr="00ED172B">
        <w:rPr>
          <w:rFonts w:cs="Arial"/>
          <w:color w:val="000000" w:themeColor="text1"/>
          <w:szCs w:val="16"/>
        </w:rPr>
        <w:t xml:space="preserve">TEIS used the Early Childhood Technical Assistance (ECTA) Center Response Rate and Representativeness Calculator (version January 2024) to calculate representativeness of the 2024-25 data across multiple variables. </w:t>
      </w:r>
    </w:p>
    <w:p w14:paraId="55E5FBFA" w14:textId="77777777" w:rsidR="0084778F" w:rsidRDefault="0084778F" w:rsidP="00013004">
      <w:pPr>
        <w:rPr>
          <w:rFonts w:cs="Arial"/>
          <w:b/>
          <w:color w:val="000000" w:themeColor="text1"/>
          <w:szCs w:val="16"/>
        </w:rPr>
      </w:pPr>
    </w:p>
    <w:p w14:paraId="73008A5F" w14:textId="77777777" w:rsidR="00437F97" w:rsidRPr="005E75A0" w:rsidRDefault="00437F97" w:rsidP="00437F97">
      <w:pPr>
        <w:rPr>
          <w:b/>
          <w:color w:val="000000" w:themeColor="text1"/>
        </w:rPr>
      </w:pPr>
      <w:r w:rsidRPr="005E75A0">
        <w:rPr>
          <w:rFonts w:cs="Arial"/>
          <w:b/>
          <w:color w:val="000000" w:themeColor="text1"/>
          <w:szCs w:val="16"/>
        </w:rPr>
        <w:t xml:space="preserve">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w:t>
      </w:r>
      <w:proofErr w:type="gramStart"/>
      <w:r w:rsidRPr="005E75A0">
        <w:rPr>
          <w:rFonts w:cs="Arial"/>
          <w:b/>
          <w:color w:val="000000" w:themeColor="text1"/>
          <w:szCs w:val="16"/>
        </w:rPr>
        <w:t>infant</w:t>
      </w:r>
      <w:proofErr w:type="gramEnd"/>
      <w:r w:rsidRPr="005E75A0">
        <w:rPr>
          <w:rFonts w:cs="Arial"/>
          <w:b/>
          <w:color w:val="000000" w:themeColor="text1"/>
          <w:szCs w:val="16"/>
        </w:rPr>
        <w:t xml:space="preserve"> or </w:t>
      </w:r>
      <w:proofErr w:type="gramStart"/>
      <w:r w:rsidRPr="005E75A0">
        <w:rPr>
          <w:rFonts w:cs="Arial"/>
          <w:b/>
          <w:color w:val="000000" w:themeColor="text1"/>
          <w:szCs w:val="16"/>
        </w:rPr>
        <w:t>toddler</w:t>
      </w:r>
      <w:proofErr w:type="gramEnd"/>
      <w:r w:rsidRPr="005E75A0">
        <w:rPr>
          <w:rFonts w:cs="Arial"/>
          <w:b/>
          <w:color w:val="000000" w:themeColor="text1"/>
          <w:szCs w:val="16"/>
        </w:rPr>
        <w:t>,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76C95592" w14:textId="77777777" w:rsidR="00437F97" w:rsidRPr="00437F97" w:rsidRDefault="00437F97" w:rsidP="00437F97">
      <w:pPr>
        <w:rPr>
          <w:b/>
          <w:color w:val="000000" w:themeColor="text1"/>
        </w:rPr>
      </w:pPr>
      <w:r w:rsidRPr="00437F97">
        <w:rPr>
          <w:rFonts w:cs="Arial"/>
          <w:bCs/>
          <w:color w:val="000000" w:themeColor="text1"/>
          <w:szCs w:val="16"/>
        </w:rPr>
        <w:t xml:space="preserve">The analysis confirms that the HOPE Family Survey process, designed to eliminate barriers to participation, continues to produce results that are broadly representative of the population groups served by TEIS in FFY 2024-25. Using the ECTA Center Response Rate and Representativeness Calculator, the data was found to be representative across the following categories: </w:t>
      </w:r>
    </w:p>
    <w:p w14:paraId="24E4B402" w14:textId="77777777" w:rsidR="007876EE" w:rsidRDefault="007876EE"/>
    <w:p w14:paraId="74DA6ED7" w14:textId="77777777" w:rsidR="007876EE" w:rsidRDefault="00000000">
      <w:r>
        <w:rPr>
          <w:color w:val="000000"/>
        </w:rPr>
        <w:t>-Race/Ethnicity</w:t>
      </w:r>
    </w:p>
    <w:p w14:paraId="7ADB1E32" w14:textId="77777777" w:rsidR="007876EE" w:rsidRDefault="00000000">
      <w:r>
        <w:rPr>
          <w:color w:val="000000"/>
        </w:rPr>
        <w:t>-Hispanic Origin</w:t>
      </w:r>
    </w:p>
    <w:p w14:paraId="43225A2D" w14:textId="77777777" w:rsidR="007876EE" w:rsidRDefault="00000000">
      <w:r>
        <w:rPr>
          <w:color w:val="000000"/>
        </w:rPr>
        <w:t>-Socioeconomic Status (SES)</w:t>
      </w:r>
    </w:p>
    <w:p w14:paraId="17EA4D7C" w14:textId="77777777" w:rsidR="007876EE" w:rsidRDefault="00000000">
      <w:r>
        <w:rPr>
          <w:color w:val="000000"/>
        </w:rPr>
        <w:t>-Respondent Language</w:t>
      </w:r>
    </w:p>
    <w:p w14:paraId="12AB5F6C" w14:textId="77777777" w:rsidR="007876EE" w:rsidRDefault="007876EE"/>
    <w:p w14:paraId="53786FC0" w14:textId="77777777" w:rsidR="007876EE" w:rsidRDefault="00000000">
      <w:r>
        <w:rPr>
          <w:color w:val="000000"/>
        </w:rPr>
        <w:t xml:space="preserve">Additionally, responses were analyzed geographically by grand </w:t>
      </w:r>
      <w:proofErr w:type="gramStart"/>
      <w:r>
        <w:rPr>
          <w:color w:val="000000"/>
        </w:rPr>
        <w:t>region</w:t>
      </w:r>
      <w:proofErr w:type="gramEnd"/>
      <w:r>
        <w:rPr>
          <w:color w:val="000000"/>
        </w:rPr>
        <w:t xml:space="preserve"> (East, Middle, and West), each representing approximately one-third of the state. Middle and West regions were representative; however, the East region was not. TEIS identified the specific POE office within the East region that lacked representativeness and has begun implementing changes for the next survey cycle to improve participation.</w:t>
      </w:r>
    </w:p>
    <w:p w14:paraId="4E63F775" w14:textId="77777777" w:rsidR="007876EE" w:rsidRDefault="007876EE"/>
    <w:p w14:paraId="6C19341E" w14:textId="77777777" w:rsidR="007876EE" w:rsidRDefault="00000000">
      <w:r>
        <w:rPr>
          <w:color w:val="000000"/>
        </w:rPr>
        <w:t xml:space="preserve">TEIS continues to monitor family survey response rates as part of its results-based monitoring system. This includes analyzing POE-level response rates across Service Coordinators to ensure all families </w:t>
      </w:r>
      <w:proofErr w:type="gramStart"/>
      <w:r>
        <w:rPr>
          <w:color w:val="000000"/>
        </w:rPr>
        <w:t>have the opportunity to</w:t>
      </w:r>
      <w:proofErr w:type="gramEnd"/>
      <w:r>
        <w:rPr>
          <w:color w:val="000000"/>
        </w:rPr>
        <w:t xml:space="preserve"> participate.</w:t>
      </w:r>
    </w:p>
    <w:p w14:paraId="1DF16354" w14:textId="77777777" w:rsidR="007876EE" w:rsidRDefault="007876EE"/>
    <w:p w14:paraId="507C4DE1" w14:textId="77777777" w:rsidR="007876EE" w:rsidRDefault="00000000">
      <w:r>
        <w:rPr>
          <w:color w:val="000000"/>
        </w:rPr>
        <w:t>The overall response rate for the survey was 92.85%, with 7,783 of 8,382 surveys returned.</w:t>
      </w:r>
    </w:p>
    <w:p w14:paraId="4BC48BB3" w14:textId="77777777" w:rsidR="007876EE" w:rsidRDefault="007876EE"/>
    <w:p w14:paraId="4E303F7F" w14:textId="77777777" w:rsidR="007876EE" w:rsidRDefault="00000000">
      <w:r>
        <w:rPr>
          <w:color w:val="000000"/>
        </w:rPr>
        <w:t>Detailed Category Analysis</w:t>
      </w:r>
    </w:p>
    <w:p w14:paraId="2C00D370" w14:textId="77777777" w:rsidR="007876EE" w:rsidRDefault="007876EE"/>
    <w:p w14:paraId="36BC4388" w14:textId="77777777" w:rsidR="007876EE" w:rsidRDefault="00000000">
      <w:r>
        <w:rPr>
          <w:color w:val="000000"/>
        </w:rPr>
        <w:t>-Race/Ethnicity: Data analyzed using federally required categories; results were representative across all groups.</w:t>
      </w:r>
    </w:p>
    <w:p w14:paraId="6F779C0F" w14:textId="77777777" w:rsidR="007876EE" w:rsidRDefault="00000000">
      <w:r>
        <w:rPr>
          <w:color w:val="000000"/>
        </w:rPr>
        <w:t>-Hispanic Origin: Data analyzed using federally required categories; results were representative across all groups.</w:t>
      </w:r>
    </w:p>
    <w:p w14:paraId="5AAADB9E" w14:textId="77777777" w:rsidR="007876EE" w:rsidRDefault="00000000">
      <w:r>
        <w:rPr>
          <w:color w:val="000000"/>
        </w:rPr>
        <w:t>-Socioeconomic Status (SES): Counties grouped into five categories based on the Appalachian Regional Commission index: Distressed, At-Risk, Transitional, Competitive, and Attainment. Results were representative across all groups.</w:t>
      </w:r>
    </w:p>
    <w:p w14:paraId="67B81317" w14:textId="77777777" w:rsidR="007876EE" w:rsidRDefault="00000000">
      <w:r>
        <w:rPr>
          <w:color w:val="000000"/>
        </w:rPr>
        <w:t>-Respondent Language: Data analyzed using federally required categories; results were representative across all groups.</w:t>
      </w:r>
    </w:p>
    <w:p w14:paraId="1BC13944" w14:textId="77777777" w:rsidR="007876EE" w:rsidRDefault="00000000">
      <w:r>
        <w:rPr>
          <w:color w:val="000000"/>
        </w:rPr>
        <w:t>-Grand Region: Middle and West regions were representative; East region was not. TEIS is addressing this through targeted improvements at the identified POE office.</w:t>
      </w:r>
    </w:p>
    <w:p w14:paraId="5EBEAC5C" w14:textId="77777777" w:rsidR="00437F97" w:rsidRPr="000762B0" w:rsidRDefault="00846C1E" w:rsidP="00437F97">
      <w:pPr>
        <w:pStyle w:val="Subhed"/>
        <w:rPr>
          <w:bCs/>
        </w:rPr>
      </w:pPr>
      <w:r w:rsidRPr="00ED172B">
        <w:rPr>
          <w:color w:val="000000" w:themeColor="text1"/>
        </w:rPr>
        <w:t>The demographics of the infants or toddlers for whom families responded are representative of the demographics of infants and toddlers enrolled in the Part C program. (</w:t>
      </w:r>
      <w:r w:rsidR="00437F97" w:rsidRPr="000762B0">
        <w:rPr>
          <w:bCs/>
        </w:rPr>
        <w:t>yes/no)</w:t>
      </w:r>
    </w:p>
    <w:p w14:paraId="53E72A46" w14:textId="77777777" w:rsidR="00F5591B" w:rsidRDefault="00846C1E" w:rsidP="00437F97">
      <w:pPr>
        <w:pStyle w:val="Subhed"/>
        <w:rPr>
          <w:b w:val="0"/>
          <w:bCs/>
          <w:color w:val="000000" w:themeColor="text1"/>
        </w:rPr>
      </w:pPr>
      <w:r w:rsidRPr="00ED172B">
        <w:rPr>
          <w:color w:val="000000" w:themeColor="text1"/>
        </w:rPr>
        <w:t>YES</w:t>
      </w:r>
    </w:p>
    <w:p w14:paraId="664DAC00" w14:textId="77777777" w:rsidR="00DF2F4F" w:rsidRPr="00DF2F4F" w:rsidRDefault="00DF2F4F" w:rsidP="00DF2F4F">
      <w:pPr>
        <w:rPr>
          <w:rFonts w:cs="Arial"/>
          <w:b/>
          <w:bCs/>
          <w:color w:val="000000" w:themeColor="text1"/>
          <w:szCs w:val="16"/>
        </w:rPr>
      </w:pPr>
      <w:r w:rsidRPr="00DF2F4F">
        <w:rPr>
          <w:rFonts w:cs="Arial"/>
          <w:b/>
          <w:bCs/>
          <w:color w:val="000000" w:themeColor="text1"/>
          <w:szCs w:val="16"/>
        </w:rPr>
        <w:t xml:space="preserve">Describe strategies that will be implemented which are expected to increase the response rate year </w:t>
      </w:r>
      <w:proofErr w:type="gramStart"/>
      <w:r w:rsidRPr="00DF2F4F">
        <w:rPr>
          <w:rFonts w:cs="Arial"/>
          <w:b/>
          <w:bCs/>
          <w:color w:val="000000" w:themeColor="text1"/>
          <w:szCs w:val="16"/>
        </w:rPr>
        <w:t>over</w:t>
      </w:r>
      <w:proofErr w:type="gramEnd"/>
      <w:r w:rsidRPr="00DF2F4F">
        <w:rPr>
          <w:rFonts w:cs="Arial"/>
          <w:b/>
          <w:bCs/>
          <w:color w:val="000000" w:themeColor="text1"/>
          <w:szCs w:val="16"/>
        </w:rPr>
        <w:t xml:space="preserve"> year, particularly for those groups that are underrepresented.</w:t>
      </w:r>
    </w:p>
    <w:p w14:paraId="4CCC5D68" w14:textId="77777777" w:rsidR="00DF2F4F" w:rsidRDefault="00DF2F4F" w:rsidP="00DF2F4F">
      <w:pPr>
        <w:rPr>
          <w:rFonts w:cs="Arial"/>
          <w:b/>
          <w:color w:val="000000" w:themeColor="text1"/>
          <w:szCs w:val="16"/>
        </w:rPr>
      </w:pPr>
      <w:r w:rsidRPr="00ED172B">
        <w:rPr>
          <w:rFonts w:cs="Arial"/>
          <w:color w:val="000000" w:themeColor="text1"/>
          <w:szCs w:val="16"/>
        </w:rPr>
        <w:t>The Lead Agency will continue implementing the Help Our Parents Excel (HOPE) Annual Survey process, designed to remove barriers to participation. This approach has consistently improved both response rates and representativeness. Since its introduction in FFY 2018-19, TEIS has seen steady annual increases in family survey participation, rising from 15% in FFY 2014-15 (prior to HOPE) to 92.85% in FFY 2024-25.</w:t>
      </w:r>
    </w:p>
    <w:p w14:paraId="57283DB7" w14:textId="77777777" w:rsidR="007876EE" w:rsidRDefault="007876EE"/>
    <w:p w14:paraId="3DD474A4" w14:textId="77777777" w:rsidR="007876EE" w:rsidRDefault="00000000">
      <w:r>
        <w:rPr>
          <w:color w:val="000000"/>
        </w:rPr>
        <w:t>Training for Service Coordinators</w:t>
      </w:r>
    </w:p>
    <w:p w14:paraId="1A8B8548" w14:textId="77777777" w:rsidR="007876EE" w:rsidRDefault="00000000">
      <w:r>
        <w:rPr>
          <w:color w:val="000000"/>
        </w:rPr>
        <w:t xml:space="preserve">Before surveys are </w:t>
      </w:r>
      <w:proofErr w:type="gramStart"/>
      <w:r>
        <w:rPr>
          <w:color w:val="000000"/>
        </w:rPr>
        <w:t>administered</w:t>
      </w:r>
      <w:proofErr w:type="gramEnd"/>
      <w:r>
        <w:rPr>
          <w:color w:val="000000"/>
        </w:rPr>
        <w:t>, TEIS Service Coordinators receive annual training covering:</w:t>
      </w:r>
    </w:p>
    <w:p w14:paraId="7584DC7E" w14:textId="77777777" w:rsidR="007876EE" w:rsidRDefault="007876EE"/>
    <w:p w14:paraId="050BB69A" w14:textId="77777777" w:rsidR="007876EE" w:rsidRDefault="00000000">
      <w:r>
        <w:rPr>
          <w:color w:val="000000"/>
        </w:rPr>
        <w:t>-Purpose of the survey</w:t>
      </w:r>
    </w:p>
    <w:p w14:paraId="2D68E9EB" w14:textId="77777777" w:rsidR="007876EE" w:rsidRDefault="00000000">
      <w:r>
        <w:rPr>
          <w:color w:val="000000"/>
        </w:rPr>
        <w:t>-Data collection process</w:t>
      </w:r>
    </w:p>
    <w:p w14:paraId="2CE2AA26" w14:textId="77777777" w:rsidR="007876EE" w:rsidRDefault="00000000">
      <w:r>
        <w:rPr>
          <w:color w:val="000000"/>
        </w:rPr>
        <w:t>-Survey methodology</w:t>
      </w:r>
    </w:p>
    <w:p w14:paraId="0EA63C1D" w14:textId="77777777" w:rsidR="007876EE" w:rsidRDefault="00000000">
      <w:r>
        <w:rPr>
          <w:color w:val="000000"/>
        </w:rPr>
        <w:t>-Federal indicators</w:t>
      </w:r>
    </w:p>
    <w:p w14:paraId="1A5CE2E1" w14:textId="77777777" w:rsidR="007876EE" w:rsidRDefault="00000000">
      <w:r>
        <w:rPr>
          <w:color w:val="000000"/>
        </w:rPr>
        <w:t>-Family outcomes</w:t>
      </w:r>
    </w:p>
    <w:p w14:paraId="78788A02" w14:textId="77777777" w:rsidR="007876EE" w:rsidRDefault="00000000">
      <w:r>
        <w:rPr>
          <w:color w:val="000000"/>
        </w:rPr>
        <w:t>-ECO-FOS-R (Early Childhood Outcomes Family Outcomes Survey-Revised) instrument</w:t>
      </w:r>
    </w:p>
    <w:p w14:paraId="43535860" w14:textId="77777777" w:rsidR="007876EE" w:rsidRDefault="00000000">
      <w:r>
        <w:rPr>
          <w:color w:val="000000"/>
        </w:rPr>
        <w:t>-Reliability and validity measures</w:t>
      </w:r>
    </w:p>
    <w:p w14:paraId="6F723935" w14:textId="77777777" w:rsidR="007876EE" w:rsidRDefault="00000000">
      <w:r>
        <w:rPr>
          <w:color w:val="000000"/>
        </w:rPr>
        <w:t>-Identifying and minimizing bias</w:t>
      </w:r>
    </w:p>
    <w:p w14:paraId="0C099A65" w14:textId="77777777" w:rsidR="007876EE" w:rsidRDefault="007876EE"/>
    <w:p w14:paraId="6774DD25" w14:textId="77777777" w:rsidR="007876EE" w:rsidRDefault="00000000">
      <w:r>
        <w:rPr>
          <w:color w:val="000000"/>
        </w:rPr>
        <w:t>Training is required for all new Service Coordinators prior to administering the survey. Each POE office determines refresher training policies for experienced staff, and all staff are welcome to participate. Training is also available anytime through the Lead Agency’s learning management system.</w:t>
      </w:r>
    </w:p>
    <w:p w14:paraId="0954C716" w14:textId="77777777" w:rsidR="007876EE" w:rsidRDefault="007876EE"/>
    <w:p w14:paraId="14664706" w14:textId="77777777" w:rsidR="007876EE" w:rsidRDefault="00000000">
      <w:r>
        <w:rPr>
          <w:color w:val="000000"/>
        </w:rPr>
        <w:t>Survey Administration</w:t>
      </w:r>
    </w:p>
    <w:p w14:paraId="32BF7537" w14:textId="77777777" w:rsidR="007876EE" w:rsidRDefault="00000000">
      <w:r>
        <w:rPr>
          <w:color w:val="000000"/>
        </w:rPr>
        <w:lastRenderedPageBreak/>
        <w:t>Service Coordinators are responsible for collecting family outcomes data for every family on their caseload that has received at least six months of service during the annual data collection window (January–April).</w:t>
      </w:r>
    </w:p>
    <w:p w14:paraId="7600961E" w14:textId="77777777" w:rsidR="007876EE" w:rsidRDefault="007876EE"/>
    <w:p w14:paraId="0F8C069F" w14:textId="77777777" w:rsidR="007876EE" w:rsidRDefault="00000000">
      <w:r>
        <w:rPr>
          <w:color w:val="000000"/>
        </w:rPr>
        <w:t>Coordinators receive a list of eligible children at the start of the survey window and updated status reports twice monthly.</w:t>
      </w:r>
    </w:p>
    <w:p w14:paraId="09E6AFD9" w14:textId="77777777" w:rsidR="007876EE" w:rsidRDefault="007876EE"/>
    <w:p w14:paraId="71F4C024" w14:textId="77777777" w:rsidR="007876EE" w:rsidRDefault="00000000">
      <w:r>
        <w:rPr>
          <w:color w:val="000000"/>
        </w:rPr>
        <w:t>Surveys can be completed in multiple formats:</w:t>
      </w:r>
    </w:p>
    <w:p w14:paraId="557C1AA4" w14:textId="77777777" w:rsidR="007876EE" w:rsidRDefault="00000000">
      <w:r>
        <w:rPr>
          <w:color w:val="000000"/>
        </w:rPr>
        <w:t>-Online</w:t>
      </w:r>
    </w:p>
    <w:p w14:paraId="1516DF45" w14:textId="77777777" w:rsidR="007876EE" w:rsidRDefault="00000000">
      <w:r>
        <w:rPr>
          <w:color w:val="000000"/>
        </w:rPr>
        <w:t>-Adobe Sign</w:t>
      </w:r>
    </w:p>
    <w:p w14:paraId="29801DCE" w14:textId="77777777" w:rsidR="007876EE" w:rsidRDefault="00000000">
      <w:r>
        <w:rPr>
          <w:color w:val="000000"/>
        </w:rPr>
        <w:t>-Paper</w:t>
      </w:r>
    </w:p>
    <w:p w14:paraId="3304231B" w14:textId="77777777" w:rsidR="007876EE" w:rsidRDefault="007876EE"/>
    <w:p w14:paraId="40C39049" w14:textId="77777777" w:rsidR="007876EE" w:rsidRDefault="00000000">
      <w:r>
        <w:rPr>
          <w:color w:val="000000"/>
        </w:rPr>
        <w:t>Families may complete the survey independently or choose to have their Service Coordinator or another TEIS staff member assist through an interview. Service Coordinators work with families to determine the most convenient method.</w:t>
      </w:r>
    </w:p>
    <w:p w14:paraId="29831351" w14:textId="77777777" w:rsidR="007876EE" w:rsidRDefault="007876EE"/>
    <w:p w14:paraId="2488D941" w14:textId="77777777" w:rsidR="007876EE" w:rsidRDefault="00000000">
      <w:r>
        <w:rPr>
          <w:color w:val="000000"/>
        </w:rPr>
        <w:t>Technical Assistance</w:t>
      </w:r>
    </w:p>
    <w:p w14:paraId="31034963" w14:textId="77777777" w:rsidR="007876EE" w:rsidRDefault="00000000">
      <w:r>
        <w:rPr>
          <w:color w:val="000000"/>
        </w:rPr>
        <w:t>Technical assistance was available from the IDEA Implementation Team upon request. A dedicated email address was established for survey-related support. FFY 2024-25 marked the first year TEIS administered the survey in-house, without using an external contract agency.</w:t>
      </w:r>
    </w:p>
    <w:p w14:paraId="66232C56" w14:textId="77777777"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6E68C31E" w14:textId="77777777" w:rsidR="000F27DB" w:rsidRDefault="003B21F7" w:rsidP="000B4FD4">
      <w:pPr>
        <w:rPr>
          <w:rFonts w:cs="Arial"/>
          <w:b/>
          <w:color w:val="000000" w:themeColor="text1"/>
          <w:szCs w:val="16"/>
        </w:rPr>
      </w:pPr>
      <w:r w:rsidRPr="00ED172B">
        <w:rPr>
          <w:rFonts w:cs="Arial"/>
          <w:color w:val="000000" w:themeColor="text1"/>
          <w:szCs w:val="16"/>
        </w:rPr>
        <w:t>The analysis confirms that the HOPE Family Survey process, designed to eliminate barriers to participation, continues to produce family outcome survey results that are largely representative of the population groups served by TEIS in FFY 2024-25.</w:t>
      </w:r>
    </w:p>
    <w:p w14:paraId="44125AF9" w14:textId="77777777" w:rsidR="007876EE" w:rsidRDefault="007876EE"/>
    <w:p w14:paraId="0F38CCB7" w14:textId="77777777" w:rsidR="007876EE" w:rsidRDefault="00000000">
      <w:r>
        <w:rPr>
          <w:color w:val="000000"/>
        </w:rPr>
        <w:t>Using the ECTA Representativeness Calculator (January 2024 version), the data was found to be representative across four of the five demographic categories analyzed:</w:t>
      </w:r>
    </w:p>
    <w:p w14:paraId="11123C2F" w14:textId="77777777" w:rsidR="007876EE" w:rsidRDefault="007876EE"/>
    <w:p w14:paraId="039B974B" w14:textId="77777777" w:rsidR="007876EE" w:rsidRDefault="00000000">
      <w:r>
        <w:rPr>
          <w:color w:val="000000"/>
        </w:rPr>
        <w:t>Race/Ethnicity</w:t>
      </w:r>
    </w:p>
    <w:p w14:paraId="0307BEEA" w14:textId="77777777" w:rsidR="007876EE" w:rsidRDefault="00000000">
      <w:r>
        <w:rPr>
          <w:color w:val="000000"/>
        </w:rPr>
        <w:t>Hispanic Origin</w:t>
      </w:r>
    </w:p>
    <w:p w14:paraId="5B33BFFE" w14:textId="77777777" w:rsidR="007876EE" w:rsidRDefault="00000000">
      <w:r>
        <w:rPr>
          <w:color w:val="000000"/>
        </w:rPr>
        <w:t>Socioeconomic Grouping</w:t>
      </w:r>
    </w:p>
    <w:p w14:paraId="6B595AD3" w14:textId="77777777" w:rsidR="007876EE" w:rsidRDefault="00000000">
      <w:r>
        <w:rPr>
          <w:color w:val="000000"/>
        </w:rPr>
        <w:t>Respondent Language</w:t>
      </w:r>
    </w:p>
    <w:p w14:paraId="5DFE428B" w14:textId="77777777" w:rsidR="007876EE" w:rsidRDefault="007876EE"/>
    <w:p w14:paraId="7E4BABEE" w14:textId="77777777" w:rsidR="007876EE" w:rsidRDefault="00000000">
      <w:r>
        <w:rPr>
          <w:color w:val="000000"/>
        </w:rPr>
        <w:t>The only category not fully representative was Grand Region, where the East Region was underrepresented. Further investigation identified one POE office within the East Region as the source of this gap. TEIS has already begun implementing changes for the next survey cycle to improve representativeness in this POE.</w:t>
      </w:r>
    </w:p>
    <w:p w14:paraId="380FB6B5" w14:textId="77777777" w:rsidR="007876EE" w:rsidRDefault="007876EE"/>
    <w:p w14:paraId="4DE1114C" w14:textId="77777777" w:rsidR="007876EE" w:rsidRDefault="00000000">
      <w:r>
        <w:rPr>
          <w:color w:val="000000"/>
        </w:rPr>
        <w:t xml:space="preserve">TEIS continues to track family survey response rates as part of its results-based monitoring system. This includes analyzing POE-level response rates across Service Coordinators to ensure all families </w:t>
      </w:r>
      <w:proofErr w:type="gramStart"/>
      <w:r>
        <w:rPr>
          <w:color w:val="000000"/>
        </w:rPr>
        <w:t>have the opportunity to</w:t>
      </w:r>
      <w:proofErr w:type="gramEnd"/>
      <w:r>
        <w:rPr>
          <w:color w:val="000000"/>
        </w:rPr>
        <w:t xml:space="preserve"> participate in the survey.</w:t>
      </w:r>
    </w:p>
    <w:bookmarkEnd w:id="24"/>
    <w:p w14:paraId="4E617EC1"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0D488C68" w14:textId="77777777" w:rsidR="003A3693" w:rsidRPr="00ED172B" w:rsidRDefault="003A3693" w:rsidP="003A3693">
      <w:pPr>
        <w:rPr>
          <w:rFonts w:cs="Arial"/>
          <w:color w:val="000000" w:themeColor="text1"/>
          <w:szCs w:val="16"/>
        </w:rPr>
      </w:pPr>
    </w:p>
    <w:p w14:paraId="333F208A" w14:textId="77777777" w:rsidR="00DC0682" w:rsidRPr="00A40EE1" w:rsidRDefault="000D0117" w:rsidP="005C3FFD">
      <w:pPr>
        <w:pStyle w:val="Heading2"/>
      </w:pPr>
      <w:r w:rsidRPr="00A40EE1">
        <w:t xml:space="preserve">4 - </w:t>
      </w:r>
      <w:r w:rsidR="00DC0682" w:rsidRPr="00A40EE1">
        <w:t>Prior FFY Required Actions</w:t>
      </w:r>
    </w:p>
    <w:p w14:paraId="17D00ECC" w14:textId="77777777" w:rsidR="004C1CEE" w:rsidRPr="00ED172B" w:rsidRDefault="00291EA9" w:rsidP="00027F39">
      <w:pPr>
        <w:rPr>
          <w:color w:val="000000" w:themeColor="text1"/>
        </w:rPr>
      </w:pPr>
      <w:r w:rsidRPr="00ED172B">
        <w:rPr>
          <w:color w:val="000000" w:themeColor="text1"/>
        </w:rPr>
        <w:t>None</w:t>
      </w:r>
    </w:p>
    <w:p w14:paraId="23D47896" w14:textId="77777777" w:rsidR="004C1CEE" w:rsidRPr="00ED172B" w:rsidRDefault="004C1CEE" w:rsidP="00DC0682">
      <w:pPr>
        <w:rPr>
          <w:rFonts w:cs="Arial"/>
          <w:color w:val="000000" w:themeColor="text1"/>
          <w:szCs w:val="16"/>
        </w:rPr>
      </w:pPr>
    </w:p>
    <w:p w14:paraId="2922C91E" w14:textId="77777777"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368A4756" w14:textId="77777777" w:rsidR="00DC0682" w:rsidRPr="00A40EE1" w:rsidRDefault="000D0117" w:rsidP="005C3FFD">
      <w:pPr>
        <w:pStyle w:val="Heading2"/>
      </w:pPr>
      <w:r w:rsidRPr="00A40EE1">
        <w:t xml:space="preserve">4 - </w:t>
      </w:r>
      <w:r w:rsidR="00DC0682" w:rsidRPr="00A40EE1">
        <w:t>OSEP Response</w:t>
      </w:r>
    </w:p>
    <w:p w14:paraId="71DF73FF" w14:textId="77777777" w:rsidR="00DC0682" w:rsidRPr="00ED172B" w:rsidRDefault="00DC0682" w:rsidP="00027F39">
      <w:pPr>
        <w:rPr>
          <w:color w:val="000000" w:themeColor="text1"/>
        </w:rPr>
      </w:pPr>
    </w:p>
    <w:p w14:paraId="247201F6" w14:textId="77777777" w:rsidR="00DC0682" w:rsidRPr="00A40EE1" w:rsidRDefault="000D0117" w:rsidP="005C3FFD">
      <w:pPr>
        <w:pStyle w:val="Heading2"/>
      </w:pPr>
      <w:r w:rsidRPr="00A40EE1">
        <w:t xml:space="preserve">4 - </w:t>
      </w:r>
      <w:r w:rsidR="00DC0682" w:rsidRPr="00A40EE1">
        <w:t>Required Actions</w:t>
      </w:r>
    </w:p>
    <w:p w14:paraId="44C20BD0" w14:textId="77777777" w:rsidR="00DC0682" w:rsidRPr="00ED172B" w:rsidRDefault="00DC0682" w:rsidP="00027F39">
      <w:pPr>
        <w:rPr>
          <w:color w:val="000000" w:themeColor="text1"/>
        </w:rPr>
      </w:pPr>
    </w:p>
    <w:p w14:paraId="634C1569"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78DE37BB" w14:textId="77777777" w:rsidR="00D03701" w:rsidRPr="00ED172B" w:rsidRDefault="00D03701" w:rsidP="0077063D">
      <w:pPr>
        <w:pStyle w:val="Heading1"/>
        <w:rPr>
          <w:color w:val="000000" w:themeColor="text1"/>
        </w:rPr>
      </w:pPr>
      <w:bookmarkStart w:id="27" w:name="_Toc384383330"/>
      <w:bookmarkStart w:id="28" w:name="_Toc392159282"/>
      <w:bookmarkStart w:id="29" w:name="_Toc382082372"/>
      <w:bookmarkEnd w:id="25"/>
      <w:bookmarkEnd w:id="26"/>
      <w:r w:rsidRPr="00ED172B">
        <w:rPr>
          <w:color w:val="000000" w:themeColor="text1"/>
        </w:rPr>
        <w:lastRenderedPageBreak/>
        <w:t xml:space="preserve">Indicator </w:t>
      </w:r>
      <w:bookmarkEnd w:id="27"/>
      <w:bookmarkEnd w:id="28"/>
      <w:r w:rsidR="00975A3C" w:rsidRPr="00ED172B">
        <w:rPr>
          <w:color w:val="000000" w:themeColor="text1"/>
        </w:rPr>
        <w:t>5: Child Find (Birth to One)</w:t>
      </w:r>
    </w:p>
    <w:p w14:paraId="000CF1EE" w14:textId="77777777" w:rsidR="000C5918" w:rsidRPr="00ED172B" w:rsidRDefault="000C5918" w:rsidP="00186420">
      <w:pPr>
        <w:rPr>
          <w:color w:val="000000" w:themeColor="text1"/>
          <w:szCs w:val="20"/>
        </w:rPr>
      </w:pPr>
      <w:bookmarkStart w:id="30" w:name="_Toc384383331"/>
      <w:bookmarkStart w:id="31" w:name="_Toc392159283"/>
      <w:r w:rsidRPr="00ED172B">
        <w:rPr>
          <w:b/>
          <w:color w:val="000000" w:themeColor="text1"/>
          <w:sz w:val="20"/>
          <w:szCs w:val="20"/>
        </w:rPr>
        <w:t>Instructions and Measurement</w:t>
      </w:r>
    </w:p>
    <w:p w14:paraId="0BA9E7A5"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1028508E" w14:textId="77777777"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w:t>
      </w:r>
      <w:r w:rsidR="00E9116A">
        <w:rPr>
          <w:rFonts w:cs="Arial"/>
          <w:color w:val="000000" w:themeColor="text1"/>
          <w:szCs w:val="16"/>
        </w:rPr>
        <w:t xml:space="preserve">. </w:t>
      </w:r>
    </w:p>
    <w:p w14:paraId="75A70DC6" w14:textId="77777777"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24C869CC" w14:textId="77777777" w:rsidR="005918D1" w:rsidRPr="00ED172B" w:rsidRDefault="005918D1">
      <w:pPr>
        <w:rPr>
          <w:b/>
          <w:color w:val="000000" w:themeColor="text1"/>
        </w:rPr>
      </w:pPr>
      <w:r w:rsidRPr="00ED172B">
        <w:rPr>
          <w:b/>
          <w:color w:val="000000" w:themeColor="text1"/>
        </w:rPr>
        <w:t>Data Source</w:t>
      </w:r>
    </w:p>
    <w:p w14:paraId="378F8B1B" w14:textId="77777777" w:rsidR="00913F1E" w:rsidRPr="00F446DC" w:rsidRDefault="00913F1E" w:rsidP="00913F1E">
      <w:pPr>
        <w:rPr>
          <w:szCs w:val="16"/>
        </w:rPr>
      </w:pPr>
      <w:r w:rsidRPr="00ED3380">
        <w:rPr>
          <w:szCs w:val="16"/>
        </w:rPr>
        <w:t xml:space="preserve">Same data as used for reporting to the Department under section 618 of the IDEA, using the definitions in </w:t>
      </w:r>
      <w:proofErr w:type="spellStart"/>
      <w:r w:rsidRPr="00ED3380">
        <w:rPr>
          <w:szCs w:val="16"/>
        </w:rPr>
        <w:t>EDFacts</w:t>
      </w:r>
      <w:proofErr w:type="spellEnd"/>
      <w:r w:rsidRPr="00ED3380">
        <w:rPr>
          <w:szCs w:val="16"/>
        </w:rPr>
        <w:t xml:space="preserve"> file specification FS902 </w:t>
      </w:r>
      <w:r w:rsidRPr="0084279D">
        <w:rPr>
          <w:rFonts w:cs="Arial"/>
          <w:szCs w:val="16"/>
        </w:rPr>
        <w:t>and Census (for the denominator).</w:t>
      </w:r>
    </w:p>
    <w:p w14:paraId="18D8560A" w14:textId="77777777" w:rsidR="005918D1" w:rsidRPr="00ED172B" w:rsidRDefault="005918D1">
      <w:pPr>
        <w:rPr>
          <w:b/>
          <w:color w:val="000000" w:themeColor="text1"/>
        </w:rPr>
      </w:pPr>
      <w:r w:rsidRPr="00ED172B">
        <w:rPr>
          <w:b/>
          <w:color w:val="000000" w:themeColor="text1"/>
        </w:rPr>
        <w:t>Measurement</w:t>
      </w:r>
    </w:p>
    <w:p w14:paraId="3E697F32" w14:textId="77777777" w:rsidR="005918D1" w:rsidRPr="00ED172B" w:rsidRDefault="005918D1" w:rsidP="00815A6D">
      <w:pPr>
        <w:rPr>
          <w:rFonts w:cs="Arial"/>
          <w:color w:val="000000" w:themeColor="text1"/>
          <w:szCs w:val="16"/>
        </w:rPr>
      </w:pPr>
      <w:r w:rsidRPr="00ED172B">
        <w:rPr>
          <w:rFonts w:cs="Arial"/>
          <w:color w:val="000000" w:themeColor="text1"/>
          <w:szCs w:val="16"/>
        </w:rPr>
        <w:t xml:space="preserve">Percent = </w:t>
      </w:r>
      <w:proofErr w:type="gramStart"/>
      <w:r w:rsidRPr="00ED172B">
        <w:rPr>
          <w:rFonts w:cs="Arial"/>
          <w:color w:val="000000" w:themeColor="text1"/>
          <w:szCs w:val="16"/>
        </w:rPr>
        <w:t xml:space="preserve">[(# </w:t>
      </w:r>
      <w:proofErr w:type="gramEnd"/>
      <w:r w:rsidRPr="00ED172B">
        <w:rPr>
          <w:rFonts w:cs="Arial"/>
          <w:color w:val="000000" w:themeColor="text1"/>
          <w:szCs w:val="16"/>
        </w:rPr>
        <w:t xml:space="preserve">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 divided by the (population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times 100.</w:t>
      </w:r>
    </w:p>
    <w:p w14:paraId="70417887" w14:textId="77777777" w:rsidR="005918D1" w:rsidRPr="00ED172B" w:rsidRDefault="005918D1">
      <w:pPr>
        <w:rPr>
          <w:b/>
          <w:color w:val="000000" w:themeColor="text1"/>
        </w:rPr>
      </w:pPr>
      <w:r w:rsidRPr="00ED172B">
        <w:rPr>
          <w:b/>
          <w:color w:val="000000" w:themeColor="text1"/>
        </w:rPr>
        <w:t>Instructions</w:t>
      </w:r>
    </w:p>
    <w:p w14:paraId="1AB9CB4E"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64B93757" w14:textId="77777777" w:rsidR="005918D1" w:rsidRDefault="005918D1" w:rsidP="00815A6D">
      <w:pPr>
        <w:rPr>
          <w:rFonts w:cs="Arial"/>
          <w:color w:val="000000" w:themeColor="text1"/>
          <w:szCs w:val="16"/>
        </w:rPr>
      </w:pPr>
      <w:r w:rsidRPr="00ED172B">
        <w:rPr>
          <w:rFonts w:cs="Arial"/>
          <w:color w:val="000000" w:themeColor="text1"/>
          <w:szCs w:val="16"/>
        </w:rPr>
        <w:t>Describe the results of the calculations. The data reported in this indicator should be consistent with the State’s reported 618 data reported in Table 1. If not, explain why.</w:t>
      </w:r>
    </w:p>
    <w:p w14:paraId="308CF3CD" w14:textId="77777777" w:rsidR="000D4875" w:rsidRPr="003461DB" w:rsidRDefault="000D4875" w:rsidP="008E5722">
      <w:pPr>
        <w:rPr>
          <w:rFonts w:cs="Arial"/>
          <w:szCs w:val="16"/>
        </w:rPr>
      </w:pPr>
      <w:r w:rsidRPr="00FE01D6">
        <w:rPr>
          <w:rFonts w:cs="Arial"/>
          <w:szCs w:val="16"/>
        </w:rPr>
        <w:t xml:space="preserve">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w:t>
      </w:r>
      <w:proofErr w:type="gramStart"/>
      <w:r w:rsidRPr="00FE01D6">
        <w:rPr>
          <w:rFonts w:cs="Arial"/>
          <w:szCs w:val="16"/>
        </w:rPr>
        <w:t>analyses</w:t>
      </w:r>
      <w:proofErr w:type="gramEnd"/>
      <w:r w:rsidRPr="00FE01D6">
        <w:rPr>
          <w:rFonts w:cs="Arial"/>
          <w:szCs w:val="16"/>
        </w:rPr>
        <w:t>.</w:t>
      </w:r>
    </w:p>
    <w:bookmarkEnd w:id="30"/>
    <w:bookmarkEnd w:id="31"/>
    <w:p w14:paraId="2A71C83B" w14:textId="77777777" w:rsidR="00D03701" w:rsidRPr="00A40EE1" w:rsidRDefault="000D0117" w:rsidP="005C3FFD">
      <w:pPr>
        <w:pStyle w:val="Heading2"/>
      </w:pPr>
      <w:r w:rsidRPr="00A40EE1">
        <w:t xml:space="preserve">5 - </w:t>
      </w:r>
      <w:r w:rsidR="00815A6D" w:rsidRPr="00A40EE1">
        <w:t>Indicator Data</w:t>
      </w:r>
    </w:p>
    <w:p w14:paraId="6A1B4138" w14:textId="77777777" w:rsidR="0085799B" w:rsidRDefault="0085799B">
      <w:pPr>
        <w:rPr>
          <w:b/>
          <w:color w:val="000000" w:themeColor="text1"/>
        </w:rPr>
      </w:pPr>
      <w:bookmarkStart w:id="32" w:name="_Toc384383332"/>
      <w:bookmarkStart w:id="33" w:name="_Toc392159284"/>
      <w:r w:rsidRPr="00ED172B">
        <w:rPr>
          <w:b/>
          <w:color w:val="000000" w:themeColor="text1"/>
        </w:rPr>
        <w:t>Historical Data</w:t>
      </w:r>
    </w:p>
    <w:p w14:paraId="32A1ED9E" w14:textId="77777777"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4DA54D66" w14:textId="77777777" w:rsidTr="00A40EE1">
        <w:trPr>
          <w:trHeight w:val="170"/>
          <w:tblHeader/>
        </w:trPr>
        <w:tc>
          <w:tcPr>
            <w:tcW w:w="2500" w:type="pct"/>
            <w:tcBorders>
              <w:bottom w:val="single" w:sz="4" w:space="0" w:color="auto"/>
            </w:tcBorders>
            <w:vAlign w:val="center"/>
          </w:tcPr>
          <w:p w14:paraId="09258BF0" w14:textId="77777777"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vAlign w:val="center"/>
          </w:tcPr>
          <w:p w14:paraId="007618E2" w14:textId="77777777"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3ACB120C" w14:textId="77777777" w:rsidTr="00A40EE1">
        <w:trPr>
          <w:trHeight w:val="170"/>
        </w:trPr>
        <w:tc>
          <w:tcPr>
            <w:tcW w:w="2500" w:type="pct"/>
            <w:tcBorders>
              <w:bottom w:val="single" w:sz="4" w:space="0" w:color="auto"/>
            </w:tcBorders>
            <w:vAlign w:val="center"/>
          </w:tcPr>
          <w:p w14:paraId="59971DD7" w14:textId="77777777" w:rsidR="00E30D86" w:rsidRPr="00ED172B" w:rsidRDefault="00E30D86" w:rsidP="00C15786">
            <w:pPr>
              <w:jc w:val="center"/>
              <w:rPr>
                <w:b/>
                <w:color w:val="000000" w:themeColor="text1"/>
              </w:rPr>
            </w:pPr>
            <w:r w:rsidRPr="00ED172B">
              <w:rPr>
                <w:color w:val="000000" w:themeColor="text1"/>
              </w:rPr>
              <w:t>2005</w:t>
            </w:r>
          </w:p>
        </w:tc>
        <w:tc>
          <w:tcPr>
            <w:tcW w:w="2500" w:type="pct"/>
            <w:tcBorders>
              <w:top w:val="single" w:sz="4" w:space="0" w:color="auto"/>
              <w:right w:val="single" w:sz="4" w:space="0" w:color="auto"/>
            </w:tcBorders>
            <w:vAlign w:val="center"/>
          </w:tcPr>
          <w:p w14:paraId="1560B9F8" w14:textId="77777777" w:rsidR="00E30D86" w:rsidRPr="00ED172B" w:rsidRDefault="00E30D86" w:rsidP="00C15786">
            <w:pPr>
              <w:jc w:val="center"/>
              <w:rPr>
                <w:b/>
                <w:color w:val="000000" w:themeColor="text1"/>
              </w:rPr>
            </w:pPr>
            <w:r w:rsidRPr="00ED172B">
              <w:rPr>
                <w:color w:val="000000" w:themeColor="text1"/>
              </w:rPr>
              <w:t>0.74%</w:t>
            </w:r>
          </w:p>
        </w:tc>
      </w:tr>
    </w:tbl>
    <w:p w14:paraId="1B801D9E"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25EAC38D" w14:textId="77777777" w:rsidTr="00986B99">
        <w:trPr>
          <w:trHeight w:val="260"/>
        </w:trPr>
        <w:tc>
          <w:tcPr>
            <w:tcW w:w="415" w:type="pct"/>
            <w:tcBorders>
              <w:bottom w:val="single" w:sz="4" w:space="0" w:color="auto"/>
            </w:tcBorders>
          </w:tcPr>
          <w:p w14:paraId="1CFD0646"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vAlign w:val="center"/>
          </w:tcPr>
          <w:p w14:paraId="31E67709" w14:textId="77777777"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7171524F" w14:textId="77777777"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236F89D3" w14:textId="77777777" w:rsidR="0085799B"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09073780" w14:textId="77777777" w:rsidR="0085799B"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74E8E6CA" w14:textId="77777777" w:rsidR="0085799B"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7A790551" w14:textId="77777777" w:rsidTr="00986B99">
        <w:trPr>
          <w:trHeight w:val="357"/>
        </w:trPr>
        <w:tc>
          <w:tcPr>
            <w:tcW w:w="415" w:type="pct"/>
          </w:tcPr>
          <w:p w14:paraId="3A5CCEEA" w14:textId="77777777"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157AC6EB" w14:textId="77777777" w:rsidR="0085799B" w:rsidRPr="00ED172B" w:rsidRDefault="00860830" w:rsidP="00CD79C5">
            <w:pPr>
              <w:jc w:val="center"/>
              <w:rPr>
                <w:color w:val="000000" w:themeColor="text1"/>
                <w:szCs w:val="16"/>
              </w:rPr>
            </w:pPr>
            <w:r w:rsidRPr="00ED172B">
              <w:rPr>
                <w:rFonts w:cs="Arial"/>
                <w:color w:val="000000" w:themeColor="text1"/>
                <w:szCs w:val="16"/>
              </w:rPr>
              <w:t>0.89%</w:t>
            </w:r>
          </w:p>
        </w:tc>
        <w:tc>
          <w:tcPr>
            <w:tcW w:w="1026" w:type="pct"/>
            <w:vAlign w:val="center"/>
          </w:tcPr>
          <w:p w14:paraId="222DEC08" w14:textId="77777777" w:rsidR="0085799B" w:rsidRPr="00ED172B" w:rsidRDefault="00292265" w:rsidP="00CD79C5">
            <w:pPr>
              <w:jc w:val="center"/>
              <w:rPr>
                <w:color w:val="000000" w:themeColor="text1"/>
                <w:szCs w:val="16"/>
              </w:rPr>
            </w:pPr>
            <w:r w:rsidRPr="00ED172B">
              <w:rPr>
                <w:rFonts w:cs="Arial"/>
                <w:color w:val="000000" w:themeColor="text1"/>
                <w:szCs w:val="16"/>
              </w:rPr>
              <w:t>1.49%</w:t>
            </w:r>
          </w:p>
        </w:tc>
        <w:tc>
          <w:tcPr>
            <w:tcW w:w="867" w:type="pct"/>
            <w:vAlign w:val="center"/>
          </w:tcPr>
          <w:p w14:paraId="56C4AD65" w14:textId="77777777" w:rsidR="0085799B" w:rsidRPr="00ED172B" w:rsidRDefault="00292265" w:rsidP="00CD79C5">
            <w:pPr>
              <w:jc w:val="center"/>
              <w:rPr>
                <w:color w:val="000000" w:themeColor="text1"/>
                <w:szCs w:val="16"/>
              </w:rPr>
            </w:pPr>
            <w:r w:rsidRPr="00ED172B">
              <w:rPr>
                <w:rFonts w:cs="Arial"/>
                <w:color w:val="000000" w:themeColor="text1"/>
                <w:szCs w:val="16"/>
              </w:rPr>
              <w:t>1.50%</w:t>
            </w:r>
          </w:p>
        </w:tc>
        <w:tc>
          <w:tcPr>
            <w:tcW w:w="867" w:type="pct"/>
            <w:vAlign w:val="center"/>
          </w:tcPr>
          <w:p w14:paraId="523CE843" w14:textId="77777777" w:rsidR="0085799B" w:rsidRPr="00ED172B" w:rsidRDefault="00292265" w:rsidP="00CD79C5">
            <w:pPr>
              <w:jc w:val="center"/>
              <w:rPr>
                <w:color w:val="000000" w:themeColor="text1"/>
                <w:szCs w:val="16"/>
              </w:rPr>
            </w:pPr>
            <w:r w:rsidRPr="00ED172B">
              <w:rPr>
                <w:rFonts w:cs="Arial"/>
                <w:color w:val="000000" w:themeColor="text1"/>
                <w:szCs w:val="16"/>
              </w:rPr>
              <w:t>1.51%</w:t>
            </w:r>
          </w:p>
        </w:tc>
        <w:tc>
          <w:tcPr>
            <w:tcW w:w="866" w:type="pct"/>
            <w:vAlign w:val="center"/>
          </w:tcPr>
          <w:p w14:paraId="05A733C0" w14:textId="77777777" w:rsidR="0085799B" w:rsidRPr="00ED172B" w:rsidRDefault="00292265" w:rsidP="00CD79C5">
            <w:pPr>
              <w:jc w:val="center"/>
              <w:rPr>
                <w:color w:val="000000" w:themeColor="text1"/>
                <w:szCs w:val="16"/>
              </w:rPr>
            </w:pPr>
            <w:r w:rsidRPr="00ED172B">
              <w:rPr>
                <w:rFonts w:cs="Arial"/>
                <w:color w:val="000000" w:themeColor="text1"/>
                <w:szCs w:val="16"/>
              </w:rPr>
              <w:t>1.52%</w:t>
            </w:r>
          </w:p>
        </w:tc>
      </w:tr>
      <w:tr w:rsidR="00ED172B" w:rsidRPr="00ED172B" w14:paraId="2B83ECE5" w14:textId="77777777" w:rsidTr="00986B99">
        <w:trPr>
          <w:trHeight w:val="85"/>
        </w:trPr>
        <w:tc>
          <w:tcPr>
            <w:tcW w:w="415" w:type="pct"/>
          </w:tcPr>
          <w:p w14:paraId="0FCDF9F4"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vAlign w:val="center"/>
          </w:tcPr>
          <w:p w14:paraId="6BFAAD20" w14:textId="77777777" w:rsidR="0085799B" w:rsidRPr="00ED172B" w:rsidRDefault="00860830" w:rsidP="00CD79C5">
            <w:pPr>
              <w:jc w:val="center"/>
              <w:rPr>
                <w:color w:val="000000" w:themeColor="text1"/>
                <w:szCs w:val="16"/>
              </w:rPr>
            </w:pPr>
            <w:r w:rsidRPr="00ED172B">
              <w:rPr>
                <w:rFonts w:cs="Arial"/>
                <w:color w:val="000000" w:themeColor="text1"/>
                <w:szCs w:val="16"/>
              </w:rPr>
              <w:t>1.49%</w:t>
            </w:r>
          </w:p>
        </w:tc>
        <w:tc>
          <w:tcPr>
            <w:tcW w:w="1026" w:type="pct"/>
            <w:vAlign w:val="center"/>
          </w:tcPr>
          <w:p w14:paraId="0AD09A44" w14:textId="77777777" w:rsidR="0085799B" w:rsidRPr="00ED172B" w:rsidRDefault="00860830" w:rsidP="00CD79C5">
            <w:pPr>
              <w:jc w:val="center"/>
              <w:rPr>
                <w:color w:val="000000" w:themeColor="text1"/>
                <w:szCs w:val="16"/>
              </w:rPr>
            </w:pPr>
            <w:r w:rsidRPr="00ED172B">
              <w:rPr>
                <w:rFonts w:cs="Arial"/>
                <w:color w:val="000000" w:themeColor="text1"/>
                <w:szCs w:val="16"/>
              </w:rPr>
              <w:t>1.51%</w:t>
            </w:r>
          </w:p>
        </w:tc>
        <w:tc>
          <w:tcPr>
            <w:tcW w:w="867" w:type="pct"/>
            <w:tcBorders>
              <w:bottom w:val="single" w:sz="4" w:space="0" w:color="auto"/>
            </w:tcBorders>
            <w:vAlign w:val="center"/>
          </w:tcPr>
          <w:p w14:paraId="7FBADD12" w14:textId="77777777" w:rsidR="0085799B" w:rsidRPr="00ED172B" w:rsidRDefault="00860830" w:rsidP="00CD79C5">
            <w:pPr>
              <w:jc w:val="center"/>
              <w:rPr>
                <w:color w:val="000000" w:themeColor="text1"/>
                <w:szCs w:val="16"/>
              </w:rPr>
            </w:pPr>
            <w:r w:rsidRPr="00ED172B">
              <w:rPr>
                <w:rFonts w:cs="Arial"/>
                <w:color w:val="000000" w:themeColor="text1"/>
                <w:szCs w:val="16"/>
              </w:rPr>
              <w:t>1.48%</w:t>
            </w:r>
          </w:p>
        </w:tc>
        <w:tc>
          <w:tcPr>
            <w:tcW w:w="867" w:type="pct"/>
            <w:tcBorders>
              <w:bottom w:val="single" w:sz="4" w:space="0" w:color="auto"/>
            </w:tcBorders>
            <w:vAlign w:val="center"/>
          </w:tcPr>
          <w:p w14:paraId="3EBFE87C" w14:textId="77777777" w:rsidR="0085799B" w:rsidRPr="00ED172B" w:rsidRDefault="00860830" w:rsidP="00CD79C5">
            <w:pPr>
              <w:jc w:val="center"/>
              <w:rPr>
                <w:color w:val="000000" w:themeColor="text1"/>
                <w:szCs w:val="16"/>
              </w:rPr>
            </w:pPr>
            <w:r w:rsidRPr="00ED172B">
              <w:rPr>
                <w:rFonts w:cs="Arial"/>
                <w:color w:val="000000" w:themeColor="text1"/>
                <w:szCs w:val="16"/>
              </w:rPr>
              <w:t>1.30%</w:t>
            </w:r>
          </w:p>
        </w:tc>
        <w:tc>
          <w:tcPr>
            <w:tcW w:w="866" w:type="pct"/>
            <w:tcBorders>
              <w:bottom w:val="single" w:sz="4" w:space="0" w:color="auto"/>
            </w:tcBorders>
            <w:vAlign w:val="center"/>
          </w:tcPr>
          <w:p w14:paraId="6346BB14" w14:textId="77777777" w:rsidR="0085799B" w:rsidRPr="00ED172B" w:rsidRDefault="00860830" w:rsidP="00CD79C5">
            <w:pPr>
              <w:jc w:val="center"/>
              <w:rPr>
                <w:color w:val="000000" w:themeColor="text1"/>
                <w:szCs w:val="16"/>
              </w:rPr>
            </w:pPr>
            <w:r w:rsidRPr="00ED172B">
              <w:rPr>
                <w:rFonts w:cs="Arial"/>
                <w:color w:val="000000" w:themeColor="text1"/>
                <w:szCs w:val="16"/>
              </w:rPr>
              <w:t>1.38%</w:t>
            </w:r>
          </w:p>
        </w:tc>
      </w:tr>
    </w:tbl>
    <w:p w14:paraId="7F23E5FA" w14:textId="77777777" w:rsidR="0085799B" w:rsidRPr="00ED172B" w:rsidRDefault="0085799B">
      <w:pPr>
        <w:rPr>
          <w:b/>
          <w:color w:val="000000" w:themeColor="text1"/>
        </w:rPr>
      </w:pPr>
      <w:r w:rsidRPr="00ED172B">
        <w:rPr>
          <w:b/>
          <w:color w:val="000000" w:themeColor="text1"/>
        </w:rPr>
        <w:t>Targets</w:t>
      </w:r>
    </w:p>
    <w:tbl>
      <w:tblPr>
        <w:tblW w:w="2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8"/>
        <w:gridCol w:w="2206"/>
        <w:gridCol w:w="1549"/>
      </w:tblGrid>
      <w:tr w:rsidR="00CF59E2" w:rsidRPr="00ED172B" w14:paraId="26CC5D11" w14:textId="77777777" w:rsidTr="00811738">
        <w:trPr>
          <w:trHeight w:val="116"/>
        </w:trPr>
        <w:tc>
          <w:tcPr>
            <w:tcW w:w="964" w:type="pct"/>
            <w:tcBorders>
              <w:bottom w:val="single" w:sz="4" w:space="0" w:color="auto"/>
            </w:tcBorders>
          </w:tcPr>
          <w:p w14:paraId="1F3AB164"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371" w:type="pct"/>
            <w:vAlign w:val="center"/>
          </w:tcPr>
          <w:p w14:paraId="29B40FB0"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5" w:type="pct"/>
          </w:tcPr>
          <w:p w14:paraId="7BCA9BEA"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268D8F91" w14:textId="77777777" w:rsidTr="00811738">
        <w:trPr>
          <w:trHeight w:val="47"/>
        </w:trPr>
        <w:tc>
          <w:tcPr>
            <w:tcW w:w="964" w:type="pct"/>
          </w:tcPr>
          <w:p w14:paraId="091B0ECD" w14:textId="77777777"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2371" w:type="pct"/>
            <w:vAlign w:val="center"/>
          </w:tcPr>
          <w:p w14:paraId="6E1375BC" w14:textId="77777777" w:rsidR="00CF59E2" w:rsidRPr="00ED172B" w:rsidRDefault="00CF59E2" w:rsidP="006B2FE9">
            <w:pPr>
              <w:jc w:val="center"/>
              <w:rPr>
                <w:color w:val="000000" w:themeColor="text1"/>
              </w:rPr>
            </w:pPr>
            <w:r w:rsidRPr="00ED172B">
              <w:rPr>
                <w:color w:val="000000" w:themeColor="text1"/>
              </w:rPr>
              <w:t>1.53%</w:t>
            </w:r>
          </w:p>
        </w:tc>
        <w:tc>
          <w:tcPr>
            <w:tcW w:w="1665" w:type="pct"/>
          </w:tcPr>
          <w:p w14:paraId="7B988E07" w14:textId="77777777" w:rsidR="00CF59E2" w:rsidRPr="00ED172B" w:rsidRDefault="00CF59E2" w:rsidP="006B2FE9">
            <w:pPr>
              <w:jc w:val="center"/>
              <w:rPr>
                <w:color w:val="000000" w:themeColor="text1"/>
              </w:rPr>
            </w:pPr>
            <w:r>
              <w:rPr>
                <w:rFonts w:cs="Arial"/>
                <w:color w:val="000000" w:themeColor="text1"/>
                <w:szCs w:val="16"/>
              </w:rPr>
              <w:t>1.54%</w:t>
            </w:r>
          </w:p>
        </w:tc>
      </w:tr>
    </w:tbl>
    <w:bookmarkEnd w:id="32"/>
    <w:bookmarkEnd w:id="33"/>
    <w:p w14:paraId="1FC96C3E" w14:textId="77777777" w:rsidR="00F80C9C" w:rsidRDefault="00F80C9C" w:rsidP="00F80C9C">
      <w:pPr>
        <w:pStyle w:val="Bold"/>
        <w:rPr>
          <w:color w:val="000000" w:themeColor="text1"/>
        </w:rPr>
      </w:pPr>
      <w:r w:rsidRPr="00ED172B">
        <w:rPr>
          <w:color w:val="000000" w:themeColor="text1"/>
        </w:rPr>
        <w:t xml:space="preserve">Targets: Description of Stakeholder Input </w:t>
      </w:r>
    </w:p>
    <w:p w14:paraId="0D4A53B4" w14:textId="77777777" w:rsidR="0053197E" w:rsidRDefault="00CF03E0" w:rsidP="00ED172B">
      <w:pPr>
        <w:rPr>
          <w:color w:val="000000" w:themeColor="text1"/>
        </w:rPr>
      </w:pPr>
      <w:r w:rsidRPr="00ED172B">
        <w:rPr>
          <w:color w:val="000000" w:themeColor="text1"/>
        </w:rPr>
        <w:t>TEIS incorporates broad stakeholder input when addressing areas of need within the system through multiple channels, including:</w:t>
      </w:r>
    </w:p>
    <w:p w14:paraId="7779D74F" w14:textId="77777777" w:rsidR="007876EE" w:rsidRDefault="007876EE"/>
    <w:p w14:paraId="1845F760" w14:textId="77777777" w:rsidR="007876EE" w:rsidRDefault="00000000">
      <w:r>
        <w:rPr>
          <w:color w:val="000000"/>
        </w:rPr>
        <w:t>-State Interagency Coordinating Council (SICC) membership and attending visitors.</w:t>
      </w:r>
    </w:p>
    <w:p w14:paraId="4F2FD326" w14:textId="77777777" w:rsidR="007876EE" w:rsidRDefault="00000000">
      <w:r>
        <w:rPr>
          <w:color w:val="000000"/>
        </w:rPr>
        <w:t>-TEIS, EIRA, and Vendor Advisory Councils.</w:t>
      </w:r>
    </w:p>
    <w:p w14:paraId="78C43843" w14:textId="77777777" w:rsidR="007876EE" w:rsidRDefault="00000000">
      <w:r>
        <w:rPr>
          <w:color w:val="000000"/>
        </w:rPr>
        <w:t>-Office Hours sessions.</w:t>
      </w:r>
    </w:p>
    <w:p w14:paraId="1AAF4BEB" w14:textId="77777777" w:rsidR="007876EE" w:rsidRDefault="00000000">
      <w:r>
        <w:rPr>
          <w:color w:val="000000"/>
        </w:rPr>
        <w:t>-Feedback from family surveys, advocacy groups, and local engagement efforts.</w:t>
      </w:r>
    </w:p>
    <w:p w14:paraId="5200274C" w14:textId="77777777" w:rsidR="007876EE" w:rsidRDefault="007876EE"/>
    <w:p w14:paraId="6AF07FE6" w14:textId="77777777" w:rsidR="007876EE" w:rsidRDefault="00000000">
      <w:r>
        <w:rPr>
          <w:color w:val="000000"/>
        </w:rPr>
        <w:t>The TEIS website and department newsletter provide stakeholders with consistent updates on program activities and service delivery.</w:t>
      </w:r>
    </w:p>
    <w:p w14:paraId="27678CF9" w14:textId="77777777" w:rsidR="007876EE" w:rsidRDefault="007876EE"/>
    <w:p w14:paraId="4A97EE05" w14:textId="77777777" w:rsidR="007876EE" w:rsidRDefault="00000000">
      <w:r>
        <w:rPr>
          <w:color w:val="000000"/>
        </w:rPr>
        <w:t>State Interagency Coordinating Council (SICC)</w:t>
      </w:r>
    </w:p>
    <w:p w14:paraId="41930D2F"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416D95F9" w14:textId="77777777" w:rsidR="007876EE" w:rsidRDefault="007876EE"/>
    <w:p w14:paraId="241F3964" w14:textId="77777777" w:rsidR="007876EE" w:rsidRDefault="00000000">
      <w:r>
        <w:rPr>
          <w:color w:val="000000"/>
        </w:rPr>
        <w:t>Meetings are open to the public, and agenda topics can be submitted via the TEIS website. Topics addressed in 2024-25 included:</w:t>
      </w:r>
    </w:p>
    <w:p w14:paraId="5CE97330" w14:textId="77777777" w:rsidR="007876EE" w:rsidRDefault="00000000">
      <w:r>
        <w:rPr>
          <w:color w:val="000000"/>
        </w:rPr>
        <w:t>-HOPE Family Survey results and feedback.</w:t>
      </w:r>
    </w:p>
    <w:p w14:paraId="02F4EBAE" w14:textId="77777777" w:rsidR="007876EE" w:rsidRDefault="00000000">
      <w:r>
        <w:rPr>
          <w:color w:val="000000"/>
        </w:rPr>
        <w:t>-Results Monitoring.</w:t>
      </w:r>
    </w:p>
    <w:p w14:paraId="090233A1" w14:textId="77777777" w:rsidR="007876EE" w:rsidRDefault="00000000">
      <w:r>
        <w:rPr>
          <w:color w:val="000000"/>
        </w:rPr>
        <w:t>-TEIS Central Office team functions.</w:t>
      </w:r>
    </w:p>
    <w:p w14:paraId="34834A8F" w14:textId="77777777" w:rsidR="007876EE" w:rsidRDefault="00000000">
      <w:r>
        <w:rPr>
          <w:color w:val="000000"/>
        </w:rPr>
        <w:t>-POE initiatives and regional goals.</w:t>
      </w:r>
    </w:p>
    <w:p w14:paraId="2BD01AB8" w14:textId="77777777" w:rsidR="007876EE" w:rsidRDefault="00000000">
      <w:r>
        <w:rPr>
          <w:color w:val="000000"/>
        </w:rPr>
        <w:t>-Other program updates.</w:t>
      </w:r>
    </w:p>
    <w:p w14:paraId="699DDA13" w14:textId="77777777" w:rsidR="007876EE" w:rsidRDefault="007876EE"/>
    <w:p w14:paraId="67C3E933" w14:textId="77777777" w:rsidR="007876EE" w:rsidRDefault="00000000">
      <w:r>
        <w:rPr>
          <w:color w:val="000000"/>
        </w:rPr>
        <w:t>Additionally, SICC provided direct feedback to OSEP during Tennessee’s DMS 2.0 audit.</w:t>
      </w:r>
    </w:p>
    <w:p w14:paraId="61D62709" w14:textId="77777777" w:rsidR="007876EE" w:rsidRDefault="007876EE"/>
    <w:p w14:paraId="6FA4787B" w14:textId="77777777" w:rsidR="007876EE" w:rsidRDefault="00000000">
      <w:r>
        <w:rPr>
          <w:color w:val="000000"/>
        </w:rPr>
        <w:lastRenderedPageBreak/>
        <w:t>Advisory Councils</w:t>
      </w:r>
    </w:p>
    <w:p w14:paraId="13AEFC53" w14:textId="77777777" w:rsidR="007876EE" w:rsidRDefault="00000000">
      <w:r>
        <w:rPr>
          <w:color w:val="000000"/>
        </w:rPr>
        <w:t>Two advisory councils serve as key feedback channels:</w:t>
      </w:r>
    </w:p>
    <w:p w14:paraId="3B12B686" w14:textId="77777777" w:rsidR="007876EE" w:rsidRDefault="00000000">
      <w:r>
        <w:rPr>
          <w:color w:val="000000"/>
        </w:rPr>
        <w:t>-Early Intervention Resource Agency (EIRA) Advisory Council – Agencies providing developmental therapy.</w:t>
      </w:r>
    </w:p>
    <w:p w14:paraId="57F0F943" w14:textId="77777777" w:rsidR="007876EE" w:rsidRDefault="00000000">
      <w:r>
        <w:rPr>
          <w:color w:val="000000"/>
        </w:rPr>
        <w:t>-Vendor Advisory Council – Agencies providing therapy services (speech, physical, occupational).</w:t>
      </w:r>
    </w:p>
    <w:p w14:paraId="52975D39" w14:textId="77777777" w:rsidR="007876EE" w:rsidRDefault="007876EE"/>
    <w:p w14:paraId="13E04467" w14:textId="77777777" w:rsidR="007876EE" w:rsidRDefault="00000000">
      <w:r>
        <w:rPr>
          <w:color w:val="000000"/>
        </w:rPr>
        <w:t>Updates from both councils are shared at quarterly SICC meetings. Membership includes contracted EIS provider agencies.</w:t>
      </w:r>
    </w:p>
    <w:p w14:paraId="1DACDE17" w14:textId="77777777" w:rsidR="007876EE" w:rsidRDefault="007876EE"/>
    <w:p w14:paraId="0BD0D474" w14:textId="77777777" w:rsidR="007876EE" w:rsidRDefault="00000000">
      <w:r>
        <w:rPr>
          <w:color w:val="000000"/>
        </w:rPr>
        <w:t>EIRA Advisory Council focuses on:</w:t>
      </w:r>
    </w:p>
    <w:p w14:paraId="65730D2D" w14:textId="77777777" w:rsidR="007876EE" w:rsidRDefault="00000000">
      <w:r>
        <w:rPr>
          <w:color w:val="000000"/>
        </w:rPr>
        <w:t>-Improving services for children and families.</w:t>
      </w:r>
    </w:p>
    <w:p w14:paraId="09CD698B" w14:textId="77777777" w:rsidR="007876EE" w:rsidRDefault="00000000">
      <w:r>
        <w:rPr>
          <w:color w:val="000000"/>
        </w:rPr>
        <w:t>-Increasing access to services statewide.</w:t>
      </w:r>
    </w:p>
    <w:p w14:paraId="2856A615" w14:textId="77777777" w:rsidR="007876EE" w:rsidRDefault="00000000">
      <w:r>
        <w:rPr>
          <w:color w:val="000000"/>
        </w:rPr>
        <w:t>-Enhancing communication between TEIS and EIRAs.</w:t>
      </w:r>
    </w:p>
    <w:p w14:paraId="1F2E2A07" w14:textId="77777777" w:rsidR="007876EE" w:rsidRDefault="007876EE"/>
    <w:p w14:paraId="490F2370"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64CF51CF" w14:textId="77777777" w:rsidR="007876EE" w:rsidRDefault="007876EE"/>
    <w:p w14:paraId="00824F0A" w14:textId="77777777" w:rsidR="007876EE" w:rsidRDefault="00000000">
      <w:r>
        <w:rPr>
          <w:color w:val="000000"/>
        </w:rPr>
        <w:t>Vendor Advisory Council collaborates on:</w:t>
      </w:r>
    </w:p>
    <w:p w14:paraId="221EE822" w14:textId="77777777" w:rsidR="007876EE" w:rsidRDefault="00000000">
      <w:r>
        <w:rPr>
          <w:color w:val="000000"/>
        </w:rPr>
        <w:t>-Issues impacting therapy vendors.</w:t>
      </w:r>
    </w:p>
    <w:p w14:paraId="16BC2E5B" w14:textId="77777777" w:rsidR="007876EE" w:rsidRDefault="00000000">
      <w:r>
        <w:rPr>
          <w:color w:val="000000"/>
        </w:rPr>
        <w:t>-Streamlining billing and business processes.</w:t>
      </w:r>
    </w:p>
    <w:p w14:paraId="4C4B1B68" w14:textId="77777777" w:rsidR="007876EE" w:rsidRDefault="00000000">
      <w:r>
        <w:rPr>
          <w:color w:val="000000"/>
        </w:rPr>
        <w:t>-Improving IFSP teaming in partnership with the EIRA Advisory Council.</w:t>
      </w:r>
    </w:p>
    <w:p w14:paraId="78674BC4" w14:textId="77777777" w:rsidR="007876EE" w:rsidRDefault="007876EE"/>
    <w:p w14:paraId="2DD2A4C7" w14:textId="77777777" w:rsidR="007876EE" w:rsidRDefault="00000000">
      <w:r>
        <w:rPr>
          <w:color w:val="000000"/>
        </w:rPr>
        <w:t>Council Structure</w:t>
      </w:r>
    </w:p>
    <w:p w14:paraId="05082277"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241EDD3D" w14:textId="77777777" w:rsidR="007876EE" w:rsidRDefault="007876EE"/>
    <w:p w14:paraId="4F1A34DE" w14:textId="77777777" w:rsidR="007876EE" w:rsidRDefault="00000000">
      <w:r>
        <w:rPr>
          <w:color w:val="000000"/>
        </w:rPr>
        <w:t>Office Hours</w:t>
      </w:r>
    </w:p>
    <w:p w14:paraId="3B6AFBF8"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12513256" w14:textId="77777777" w:rsidR="007876EE" w:rsidRDefault="007876EE"/>
    <w:p w14:paraId="5004CD88" w14:textId="77777777" w:rsidR="007876EE" w:rsidRDefault="00000000">
      <w:r>
        <w:rPr>
          <w:color w:val="000000"/>
        </w:rPr>
        <w:t>Parent Engagement</w:t>
      </w:r>
    </w:p>
    <w:p w14:paraId="634DAE66" w14:textId="77777777" w:rsidR="007876EE" w:rsidRDefault="00000000">
      <w:r>
        <w:rPr>
          <w:color w:val="000000"/>
        </w:rPr>
        <w:t>Stakeholder engagement activities—along with professional development and technical assistance—help build the capacity of parents through:</w:t>
      </w:r>
    </w:p>
    <w:p w14:paraId="362870A6" w14:textId="77777777" w:rsidR="007876EE" w:rsidRDefault="00000000">
      <w:r>
        <w:rPr>
          <w:color w:val="000000"/>
        </w:rPr>
        <w:t>-Direct engagement: Participation in SICC or local councils, training sessions, surveys, and direct communication with TEIS leadership.</w:t>
      </w:r>
    </w:p>
    <w:p w14:paraId="487651DE" w14:textId="77777777" w:rsidR="007876EE" w:rsidRDefault="00000000">
      <w:r>
        <w:rPr>
          <w:color w:val="000000"/>
        </w:rPr>
        <w:t>-Indirect engagement: Training and monitoring systems that strengthen IFSP team members’ knowledge and skills, benefiting children and families.</w:t>
      </w:r>
    </w:p>
    <w:p w14:paraId="7E2F8903" w14:textId="77777777" w:rsidR="00A2772B" w:rsidRPr="00ED172B" w:rsidRDefault="00A2772B" w:rsidP="00F80C9C">
      <w:pPr>
        <w:pStyle w:val="Bold"/>
        <w:rPr>
          <w:b w:val="0"/>
          <w:color w:val="000000" w:themeColor="text1"/>
        </w:rPr>
      </w:pPr>
    </w:p>
    <w:p w14:paraId="00A8305B"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44C792FF" w14:textId="77777777" w:rsidTr="00986B99">
        <w:trPr>
          <w:trHeight w:val="233"/>
          <w:tblHeader/>
        </w:trPr>
        <w:tc>
          <w:tcPr>
            <w:tcW w:w="1332" w:type="pct"/>
          </w:tcPr>
          <w:p w14:paraId="4F53B4B3"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tcPr>
          <w:p w14:paraId="59482639"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tcPr>
          <w:p w14:paraId="3FEF2CED"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559B603B"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1D90DDA9" w14:textId="77777777" w:rsidTr="00986B99">
        <w:trPr>
          <w:trHeight w:val="380"/>
        </w:trPr>
        <w:tc>
          <w:tcPr>
            <w:tcW w:w="1332" w:type="pct"/>
          </w:tcPr>
          <w:p w14:paraId="375F1921" w14:textId="77777777" w:rsidR="000709B9" w:rsidRPr="00ED172B" w:rsidRDefault="00753E04" w:rsidP="000709B9">
            <w:pPr>
              <w:jc w:val="center"/>
              <w:rPr>
                <w:rFonts w:cs="Arial"/>
                <w:color w:val="000000" w:themeColor="text1"/>
                <w:szCs w:val="16"/>
              </w:rPr>
            </w:pPr>
            <w:r w:rsidRPr="00ED172B">
              <w:rPr>
                <w:rFonts w:cs="Arial"/>
                <w:color w:val="000000" w:themeColor="text1"/>
                <w:szCs w:val="16"/>
              </w:rPr>
              <w:t>SY 2024-25 IDEA Part C Child Count - Infants and Toddlers with Disabilities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FS902; Data group 5023)</w:t>
            </w:r>
          </w:p>
        </w:tc>
        <w:tc>
          <w:tcPr>
            <w:tcW w:w="1544" w:type="pct"/>
          </w:tcPr>
          <w:p w14:paraId="5653CE52" w14:textId="77777777" w:rsidR="000709B9" w:rsidRPr="00ED172B" w:rsidRDefault="00753E04" w:rsidP="000709B9">
            <w:pPr>
              <w:jc w:val="center"/>
              <w:rPr>
                <w:rFonts w:cs="Arial"/>
                <w:color w:val="000000" w:themeColor="text1"/>
                <w:szCs w:val="16"/>
              </w:rPr>
            </w:pPr>
            <w:r w:rsidRPr="00ED172B">
              <w:rPr>
                <w:rFonts w:cs="Arial"/>
                <w:color w:val="000000" w:themeColor="text1"/>
                <w:szCs w:val="16"/>
              </w:rPr>
              <w:t>07/30/2025</w:t>
            </w:r>
          </w:p>
        </w:tc>
        <w:tc>
          <w:tcPr>
            <w:tcW w:w="1334" w:type="pct"/>
          </w:tcPr>
          <w:p w14:paraId="681EF6A1" w14:textId="77777777" w:rsidR="000709B9" w:rsidRPr="00ED172B" w:rsidRDefault="000709B9" w:rsidP="000709B9">
            <w:pPr>
              <w:jc w:val="center"/>
              <w:rPr>
                <w:rFonts w:cs="Arial"/>
                <w:color w:val="000000" w:themeColor="text1"/>
                <w:szCs w:val="16"/>
              </w:rPr>
            </w:pPr>
            <w:r w:rsidRPr="00ED172B">
              <w:rPr>
                <w:rFonts w:cs="Arial"/>
                <w:color w:val="000000" w:themeColor="text1"/>
                <w:szCs w:val="16"/>
              </w:rPr>
              <w:t xml:space="preserve">Number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 with IFSPs</w:t>
            </w:r>
          </w:p>
        </w:tc>
        <w:tc>
          <w:tcPr>
            <w:tcW w:w="791" w:type="pct"/>
          </w:tcPr>
          <w:p w14:paraId="06E86C56" w14:textId="77777777" w:rsidR="000709B9" w:rsidRPr="00ED172B" w:rsidRDefault="00860830" w:rsidP="000709B9">
            <w:pPr>
              <w:jc w:val="center"/>
              <w:rPr>
                <w:rFonts w:cs="Arial"/>
                <w:color w:val="000000" w:themeColor="text1"/>
                <w:szCs w:val="16"/>
              </w:rPr>
            </w:pPr>
            <w:r w:rsidRPr="00ED172B">
              <w:rPr>
                <w:color w:val="000000" w:themeColor="text1"/>
                <w:szCs w:val="16"/>
              </w:rPr>
              <w:t>1,223</w:t>
            </w:r>
          </w:p>
        </w:tc>
      </w:tr>
      <w:tr w:rsidR="00ED172B" w:rsidRPr="00ED172B" w14:paraId="529051B0" w14:textId="77777777" w:rsidTr="00986B99">
        <w:trPr>
          <w:trHeight w:val="380"/>
        </w:trPr>
        <w:tc>
          <w:tcPr>
            <w:tcW w:w="1332" w:type="pct"/>
          </w:tcPr>
          <w:p w14:paraId="59945BA2" w14:textId="7777777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2024</w:t>
            </w:r>
          </w:p>
        </w:tc>
        <w:tc>
          <w:tcPr>
            <w:tcW w:w="1544" w:type="pct"/>
          </w:tcPr>
          <w:p w14:paraId="2B8C3B62" w14:textId="7777777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06/03/2025</w:t>
            </w:r>
          </w:p>
        </w:tc>
        <w:tc>
          <w:tcPr>
            <w:tcW w:w="1334" w:type="pct"/>
          </w:tcPr>
          <w:p w14:paraId="3DCED6CC" w14:textId="77777777" w:rsidR="000709B9" w:rsidRPr="00ED172B" w:rsidRDefault="000709B9" w:rsidP="000709B9">
            <w:pPr>
              <w:jc w:val="center"/>
              <w:rPr>
                <w:rFonts w:cs="Arial"/>
                <w:color w:val="000000" w:themeColor="text1"/>
                <w:szCs w:val="16"/>
              </w:rPr>
            </w:pPr>
            <w:r w:rsidRPr="00ED172B">
              <w:rPr>
                <w:rFonts w:cs="Arial"/>
                <w:color w:val="000000" w:themeColor="text1"/>
                <w:szCs w:val="16"/>
              </w:rPr>
              <w:t xml:space="preserve">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1</w:t>
            </w:r>
          </w:p>
        </w:tc>
        <w:tc>
          <w:tcPr>
            <w:tcW w:w="791" w:type="pct"/>
          </w:tcPr>
          <w:p w14:paraId="431332CA" w14:textId="77777777" w:rsidR="000709B9" w:rsidRPr="00ED172B" w:rsidRDefault="00860830" w:rsidP="000709B9">
            <w:pPr>
              <w:jc w:val="center"/>
              <w:rPr>
                <w:rFonts w:cs="Arial"/>
                <w:color w:val="000000" w:themeColor="text1"/>
                <w:szCs w:val="16"/>
              </w:rPr>
            </w:pPr>
            <w:r w:rsidRPr="00ED172B">
              <w:rPr>
                <w:color w:val="000000" w:themeColor="text1"/>
                <w:szCs w:val="16"/>
              </w:rPr>
              <w:t>83,031</w:t>
            </w:r>
          </w:p>
        </w:tc>
      </w:tr>
    </w:tbl>
    <w:p w14:paraId="059AB2C5" w14:textId="77777777" w:rsidR="005918D1"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1BD10303" w14:textId="77777777" w:rsidTr="00986B99">
        <w:trPr>
          <w:trHeight w:val="359"/>
          <w:tblHeader/>
        </w:trPr>
        <w:tc>
          <w:tcPr>
            <w:tcW w:w="1209" w:type="pct"/>
            <w:vAlign w:val="bottom"/>
          </w:tcPr>
          <w:p w14:paraId="1AC8DD46"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 xml:space="preserve">Number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1 with IFSPs</w:t>
            </w:r>
          </w:p>
        </w:tc>
        <w:tc>
          <w:tcPr>
            <w:tcW w:w="918" w:type="pct"/>
            <w:vAlign w:val="bottom"/>
          </w:tcPr>
          <w:p w14:paraId="26DD98A1" w14:textId="77777777" w:rsidR="00967D30" w:rsidRPr="00ED172B" w:rsidRDefault="00967D30" w:rsidP="00967D30">
            <w:pPr>
              <w:jc w:val="center"/>
              <w:rPr>
                <w:rFonts w:cs="Arial"/>
                <w:color w:val="000000" w:themeColor="text1"/>
                <w:szCs w:val="16"/>
              </w:rPr>
            </w:pPr>
            <w:r w:rsidRPr="00ED172B">
              <w:rPr>
                <w:rFonts w:cs="Arial"/>
                <w:b/>
                <w:color w:val="000000" w:themeColor="text1"/>
                <w:szCs w:val="16"/>
              </w:rPr>
              <w:t xml:space="preserve">Population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1</w:t>
            </w:r>
          </w:p>
        </w:tc>
        <w:tc>
          <w:tcPr>
            <w:tcW w:w="668" w:type="pct"/>
            <w:vAlign w:val="bottom"/>
          </w:tcPr>
          <w:p w14:paraId="1E3515EF" w14:textId="77777777"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625" w:type="pct"/>
            <w:vAlign w:val="bottom"/>
          </w:tcPr>
          <w:p w14:paraId="75972333"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42" w:type="pct"/>
            <w:vAlign w:val="bottom"/>
          </w:tcPr>
          <w:p w14:paraId="422E5044"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05CA1A8C"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vAlign w:val="bottom"/>
          </w:tcPr>
          <w:p w14:paraId="3569182B"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38B65639" w14:textId="77777777" w:rsidTr="00986B99">
        <w:trPr>
          <w:trHeight w:val="366"/>
        </w:trPr>
        <w:tc>
          <w:tcPr>
            <w:tcW w:w="1209" w:type="pct"/>
            <w:vAlign w:val="center"/>
          </w:tcPr>
          <w:p w14:paraId="3C6D5851" w14:textId="77777777" w:rsidR="00D3555C" w:rsidRPr="00ED172B" w:rsidRDefault="00860830" w:rsidP="00D3555C">
            <w:pPr>
              <w:jc w:val="center"/>
              <w:rPr>
                <w:rFonts w:cs="Arial"/>
                <w:color w:val="000000" w:themeColor="text1"/>
                <w:szCs w:val="16"/>
              </w:rPr>
            </w:pPr>
            <w:r w:rsidRPr="00ED172B">
              <w:rPr>
                <w:color w:val="000000" w:themeColor="text1"/>
                <w:szCs w:val="16"/>
              </w:rPr>
              <w:t>1,223</w:t>
            </w:r>
          </w:p>
        </w:tc>
        <w:tc>
          <w:tcPr>
            <w:tcW w:w="918" w:type="pct"/>
            <w:vAlign w:val="center"/>
          </w:tcPr>
          <w:p w14:paraId="49E1E72E" w14:textId="77777777" w:rsidR="00D3555C" w:rsidRPr="00ED172B" w:rsidRDefault="00860830" w:rsidP="00D3555C">
            <w:pPr>
              <w:jc w:val="center"/>
              <w:rPr>
                <w:rFonts w:cs="Arial"/>
                <w:color w:val="000000" w:themeColor="text1"/>
                <w:szCs w:val="16"/>
              </w:rPr>
            </w:pPr>
            <w:r w:rsidRPr="00ED172B">
              <w:rPr>
                <w:color w:val="000000" w:themeColor="text1"/>
                <w:szCs w:val="16"/>
              </w:rPr>
              <w:t>83,031</w:t>
            </w:r>
          </w:p>
        </w:tc>
        <w:tc>
          <w:tcPr>
            <w:tcW w:w="668" w:type="pct"/>
            <w:vAlign w:val="center"/>
          </w:tcPr>
          <w:p w14:paraId="7A6E9BAF" w14:textId="77777777" w:rsidR="00D3555C" w:rsidRPr="00ED172B" w:rsidRDefault="00860830" w:rsidP="00D3555C">
            <w:pPr>
              <w:jc w:val="center"/>
              <w:rPr>
                <w:rFonts w:cs="Arial"/>
                <w:color w:val="000000" w:themeColor="text1"/>
                <w:szCs w:val="16"/>
              </w:rPr>
            </w:pPr>
            <w:r w:rsidRPr="00ED172B">
              <w:rPr>
                <w:rFonts w:cs="Arial"/>
                <w:color w:val="000000" w:themeColor="text1"/>
                <w:szCs w:val="16"/>
              </w:rPr>
              <w:t>1.38%</w:t>
            </w:r>
          </w:p>
        </w:tc>
        <w:tc>
          <w:tcPr>
            <w:tcW w:w="625" w:type="pct"/>
            <w:vAlign w:val="center"/>
          </w:tcPr>
          <w:p w14:paraId="00578FD3" w14:textId="77777777" w:rsidR="00D3555C" w:rsidRPr="00ED172B" w:rsidRDefault="00632DF6" w:rsidP="00632DF6">
            <w:pPr>
              <w:jc w:val="center"/>
              <w:rPr>
                <w:color w:val="000000" w:themeColor="text1"/>
              </w:rPr>
            </w:pPr>
            <w:r w:rsidRPr="00ED172B">
              <w:rPr>
                <w:color w:val="000000" w:themeColor="text1"/>
              </w:rPr>
              <w:t>1.53%</w:t>
            </w:r>
          </w:p>
        </w:tc>
        <w:tc>
          <w:tcPr>
            <w:tcW w:w="542" w:type="pct"/>
            <w:vAlign w:val="center"/>
          </w:tcPr>
          <w:p w14:paraId="3A353FE2" w14:textId="77777777" w:rsidR="00D3555C" w:rsidRPr="00ED172B" w:rsidRDefault="00860830" w:rsidP="00D3555C">
            <w:pPr>
              <w:jc w:val="center"/>
              <w:rPr>
                <w:rFonts w:cs="Arial"/>
                <w:color w:val="000000" w:themeColor="text1"/>
                <w:szCs w:val="16"/>
              </w:rPr>
            </w:pPr>
            <w:r w:rsidRPr="00ED172B">
              <w:rPr>
                <w:rFonts w:cs="Arial"/>
                <w:color w:val="000000" w:themeColor="text1"/>
                <w:szCs w:val="16"/>
              </w:rPr>
              <w:t>1.47%</w:t>
            </w:r>
          </w:p>
        </w:tc>
        <w:tc>
          <w:tcPr>
            <w:tcW w:w="542" w:type="pct"/>
            <w:vAlign w:val="center"/>
          </w:tcPr>
          <w:p w14:paraId="27E09DB7" w14:textId="77777777" w:rsidR="00D3555C" w:rsidRPr="00ED172B" w:rsidRDefault="00632DF6" w:rsidP="00632DF6">
            <w:pPr>
              <w:jc w:val="center"/>
              <w:rPr>
                <w:color w:val="000000" w:themeColor="text1"/>
              </w:rPr>
            </w:pPr>
            <w:r w:rsidRPr="00ED172B">
              <w:rPr>
                <w:color w:val="000000" w:themeColor="text1"/>
              </w:rPr>
              <w:t>Did not meet target</w:t>
            </w:r>
          </w:p>
        </w:tc>
        <w:tc>
          <w:tcPr>
            <w:tcW w:w="496" w:type="pct"/>
            <w:vAlign w:val="center"/>
          </w:tcPr>
          <w:p w14:paraId="6F0F4AD2" w14:textId="77777777" w:rsidR="00D3555C" w:rsidRPr="00ED172B" w:rsidRDefault="00632DF6" w:rsidP="00632DF6">
            <w:pPr>
              <w:jc w:val="center"/>
              <w:rPr>
                <w:color w:val="000000" w:themeColor="text1"/>
              </w:rPr>
            </w:pPr>
            <w:r w:rsidRPr="00ED172B">
              <w:rPr>
                <w:color w:val="000000" w:themeColor="text1"/>
              </w:rPr>
              <w:t>No Slippage</w:t>
            </w:r>
          </w:p>
        </w:tc>
      </w:tr>
    </w:tbl>
    <w:p w14:paraId="46168CF7" w14:textId="77777777" w:rsidR="000D4875" w:rsidRDefault="000D4875" w:rsidP="003A3693">
      <w:pPr>
        <w:rPr>
          <w:b/>
          <w:bCs/>
        </w:rPr>
      </w:pPr>
      <w:r w:rsidRPr="00977221">
        <w:rPr>
          <w:b/>
          <w:bCs/>
        </w:rPr>
        <w:t>Provide results of the root cause analysis of child find identification rates</w:t>
      </w:r>
    </w:p>
    <w:p w14:paraId="6A2ACBC6" w14:textId="77777777" w:rsidR="000D4875" w:rsidRPr="005900EB" w:rsidRDefault="000D4875" w:rsidP="003A3693">
      <w:pPr>
        <w:rPr>
          <w:rFonts w:cs="Arial"/>
          <w:color w:val="000000" w:themeColor="text1"/>
          <w:szCs w:val="16"/>
        </w:rPr>
      </w:pPr>
      <w:r w:rsidRPr="005900EB">
        <w:t>The TEIS Results Monitoring system includes a strong focus on Child Find, tracking both the number of referrals by geographic region and the outcomes of those referrals (e.g., eligibility determination, IFSP development, and retention after initial IFSP). Child Find data points are monitored at both the TEIS Point of Entry (POE) level and the county level to identify potential gaps in outreach.</w:t>
      </w:r>
    </w:p>
    <w:p w14:paraId="06D8684A" w14:textId="77777777" w:rsidR="007876EE" w:rsidRDefault="007876EE"/>
    <w:p w14:paraId="37258DF0" w14:textId="77777777" w:rsidR="007876EE" w:rsidRDefault="00000000">
      <w:r>
        <w:t xml:space="preserve">Following slippage in FFY 2022-23, revisions were made in FFY 2023-24 to strengthen monitoring. These updates included adding data flags with an additional focus on birth-to-one referrals. Results Monitoring staff provide POEs with technical assistance and monthly Child Find data reports, which are used to </w:t>
      </w:r>
      <w:proofErr w:type="gramStart"/>
      <w:r>
        <w:t>make adjustments</w:t>
      </w:r>
      <w:proofErr w:type="gramEnd"/>
      <w:r>
        <w:t xml:space="preserve"> and evaluate the effectiveness of local outreach and POE practices.</w:t>
      </w:r>
    </w:p>
    <w:p w14:paraId="36C30CBA" w14:textId="77777777" w:rsidR="007876EE" w:rsidRDefault="007876EE"/>
    <w:p w14:paraId="73CBFB8E" w14:textId="77777777" w:rsidR="007876EE" w:rsidRDefault="00000000">
      <w:r>
        <w:t>The efforts of POE staff at the local level are producing positive outcomes, helping TEIS reach Tennessee’s youngest children more effectively.</w:t>
      </w:r>
    </w:p>
    <w:p w14:paraId="737E7B6E" w14:textId="77777777" w:rsidR="003A3693" w:rsidRPr="00ED172B" w:rsidRDefault="003A3693" w:rsidP="003A3693">
      <w:pPr>
        <w:rPr>
          <w:rFonts w:cs="Arial"/>
          <w:b/>
          <w:color w:val="000000" w:themeColor="text1"/>
          <w:szCs w:val="16"/>
        </w:rPr>
      </w:pPr>
      <w:r w:rsidRPr="00ED172B">
        <w:rPr>
          <w:rFonts w:cs="Arial"/>
          <w:b/>
          <w:color w:val="000000" w:themeColor="text1"/>
          <w:szCs w:val="16"/>
        </w:rPr>
        <w:lastRenderedPageBreak/>
        <w:t>Provide additional information about this indicator (optional)</w:t>
      </w:r>
    </w:p>
    <w:p w14:paraId="56522D1C" w14:textId="77777777" w:rsidR="003A3693" w:rsidRPr="00ED172B" w:rsidRDefault="003A3693" w:rsidP="00632DF6">
      <w:pPr>
        <w:rPr>
          <w:color w:val="000000" w:themeColor="text1"/>
        </w:rPr>
      </w:pPr>
    </w:p>
    <w:p w14:paraId="299978A5" w14:textId="77777777" w:rsidR="00DC0682" w:rsidRPr="00A40EE1" w:rsidRDefault="000D0117" w:rsidP="005C3FFD">
      <w:pPr>
        <w:pStyle w:val="Heading2"/>
      </w:pPr>
      <w:r w:rsidRPr="00A40EE1">
        <w:t xml:space="preserve">5 - </w:t>
      </w:r>
      <w:r w:rsidR="00DC0682" w:rsidRPr="00A40EE1">
        <w:t>Prior FFY Required Actions</w:t>
      </w:r>
    </w:p>
    <w:p w14:paraId="7FB613E0" w14:textId="77777777" w:rsidR="00DC0682" w:rsidRPr="00ED172B" w:rsidRDefault="00632DF6" w:rsidP="00027F39">
      <w:pPr>
        <w:rPr>
          <w:color w:val="000000" w:themeColor="text1"/>
        </w:rPr>
      </w:pPr>
      <w:r w:rsidRPr="00ED172B">
        <w:rPr>
          <w:color w:val="000000" w:themeColor="text1"/>
        </w:rPr>
        <w:t>None</w:t>
      </w:r>
    </w:p>
    <w:p w14:paraId="07257296" w14:textId="77777777" w:rsidR="00DC0682" w:rsidRPr="00A40EE1" w:rsidRDefault="000D0117" w:rsidP="005C3FFD">
      <w:pPr>
        <w:pStyle w:val="Heading2"/>
      </w:pPr>
      <w:r w:rsidRPr="00A40EE1">
        <w:t xml:space="preserve">5 - </w:t>
      </w:r>
      <w:r w:rsidR="00DC0682" w:rsidRPr="00A40EE1">
        <w:t>OSEP Response</w:t>
      </w:r>
    </w:p>
    <w:p w14:paraId="42A9A1DC" w14:textId="77777777" w:rsidR="00DC0682" w:rsidRPr="00ED172B" w:rsidRDefault="00DC0682" w:rsidP="00027F39">
      <w:pPr>
        <w:rPr>
          <w:color w:val="000000" w:themeColor="text1"/>
        </w:rPr>
      </w:pPr>
    </w:p>
    <w:p w14:paraId="00B345B3" w14:textId="77777777" w:rsidR="00DC0682" w:rsidRPr="00A40EE1" w:rsidRDefault="000D0117" w:rsidP="005C3FFD">
      <w:pPr>
        <w:pStyle w:val="Heading2"/>
      </w:pPr>
      <w:r w:rsidRPr="00A40EE1">
        <w:t xml:space="preserve">5 - </w:t>
      </w:r>
      <w:r w:rsidR="00DC0682" w:rsidRPr="00A40EE1">
        <w:t>Required Actions</w:t>
      </w:r>
    </w:p>
    <w:p w14:paraId="78859028" w14:textId="77777777" w:rsidR="00DC0682" w:rsidRPr="00ED172B" w:rsidRDefault="00DC0682" w:rsidP="00027F39">
      <w:pPr>
        <w:rPr>
          <w:color w:val="000000" w:themeColor="text1"/>
        </w:rPr>
      </w:pPr>
    </w:p>
    <w:p w14:paraId="36F84E36"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6EDD4069" w14:textId="77777777" w:rsidR="000C6015" w:rsidRPr="00ED172B" w:rsidRDefault="00D03701" w:rsidP="0077063D">
      <w:pPr>
        <w:pStyle w:val="Heading1"/>
        <w:rPr>
          <w:color w:val="000000" w:themeColor="text1"/>
        </w:rPr>
      </w:pPr>
      <w:bookmarkStart w:id="34" w:name="_Toc381956335"/>
      <w:bookmarkStart w:id="35" w:name="_Toc384383336"/>
      <w:bookmarkStart w:id="36" w:name="_Toc392159288"/>
      <w:r w:rsidRPr="00ED172B">
        <w:rPr>
          <w:color w:val="000000" w:themeColor="text1"/>
        </w:rPr>
        <w:lastRenderedPageBreak/>
        <w:t xml:space="preserve">Indicator </w:t>
      </w:r>
      <w:bookmarkEnd w:id="34"/>
      <w:bookmarkEnd w:id="35"/>
      <w:bookmarkEnd w:id="36"/>
      <w:r w:rsidR="000C6015" w:rsidRPr="00ED172B">
        <w:rPr>
          <w:color w:val="000000" w:themeColor="text1"/>
        </w:rPr>
        <w:t>6: Child Find (Birth to Three)</w:t>
      </w:r>
    </w:p>
    <w:p w14:paraId="38FCF155"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5AC32703"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0BBC95D4"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w:t>
      </w:r>
      <w:proofErr w:type="gramStart"/>
      <w:r w:rsidRPr="00ED172B">
        <w:rPr>
          <w:color w:val="000000" w:themeColor="text1"/>
          <w:szCs w:val="16"/>
        </w:rPr>
        <w:t>toddlers</w:t>
      </w:r>
      <w:proofErr w:type="gramEnd"/>
      <w:r w:rsidRPr="00ED172B">
        <w:rPr>
          <w:color w:val="000000" w:themeColor="text1"/>
          <w:szCs w:val="16"/>
        </w:rPr>
        <w:t xml:space="preserve"> birth to 3 with IFSPs</w:t>
      </w:r>
      <w:r w:rsidR="00A863D5">
        <w:rPr>
          <w:color w:val="000000" w:themeColor="text1"/>
          <w:szCs w:val="16"/>
        </w:rPr>
        <w:t>.</w:t>
      </w:r>
    </w:p>
    <w:p w14:paraId="5CCCA388" w14:textId="77777777" w:rsidR="000C6015" w:rsidRPr="00ED172B" w:rsidRDefault="000C6015" w:rsidP="00B609A4">
      <w:pPr>
        <w:rPr>
          <w:color w:val="000000" w:themeColor="text1"/>
          <w:szCs w:val="16"/>
        </w:rPr>
      </w:pPr>
      <w:r w:rsidRPr="00ED172B">
        <w:rPr>
          <w:color w:val="000000" w:themeColor="text1"/>
          <w:szCs w:val="16"/>
        </w:rPr>
        <w:t>(20 U.S.C. 1416(a)(3)(B) and 1442)</w:t>
      </w:r>
    </w:p>
    <w:p w14:paraId="31AA771E" w14:textId="77777777" w:rsidR="005918D1" w:rsidRPr="00ED172B" w:rsidRDefault="005918D1">
      <w:pPr>
        <w:rPr>
          <w:b/>
          <w:color w:val="000000" w:themeColor="text1"/>
        </w:rPr>
      </w:pPr>
      <w:r w:rsidRPr="00ED172B">
        <w:rPr>
          <w:b/>
          <w:color w:val="000000" w:themeColor="text1"/>
        </w:rPr>
        <w:t>Data Source</w:t>
      </w:r>
    </w:p>
    <w:p w14:paraId="73A88426" w14:textId="77777777" w:rsidR="00E25050" w:rsidRPr="00F446DC" w:rsidRDefault="00E25050" w:rsidP="00E25050">
      <w:pPr>
        <w:rPr>
          <w:szCs w:val="16"/>
        </w:rPr>
      </w:pPr>
      <w:r w:rsidRPr="00ED3380">
        <w:rPr>
          <w:szCs w:val="16"/>
        </w:rPr>
        <w:t xml:space="preserve">Same data as used for reporting to the Department under section 618 of the IDEA, using the definitions in </w:t>
      </w:r>
      <w:proofErr w:type="spellStart"/>
      <w:r w:rsidRPr="00ED3380">
        <w:rPr>
          <w:szCs w:val="16"/>
        </w:rPr>
        <w:t>EDFacts</w:t>
      </w:r>
      <w:proofErr w:type="spellEnd"/>
      <w:r w:rsidRPr="00ED3380">
        <w:rPr>
          <w:szCs w:val="16"/>
        </w:rPr>
        <w:t xml:space="preserve"> file specification FS902 </w:t>
      </w:r>
      <w:r w:rsidRPr="0084279D">
        <w:rPr>
          <w:rFonts w:cs="Arial"/>
          <w:szCs w:val="16"/>
        </w:rPr>
        <w:t>and Census (for the denominator).</w:t>
      </w:r>
    </w:p>
    <w:p w14:paraId="22E2A63C" w14:textId="77777777" w:rsidR="005918D1" w:rsidRPr="00ED172B" w:rsidRDefault="005918D1">
      <w:pPr>
        <w:rPr>
          <w:b/>
          <w:color w:val="000000" w:themeColor="text1"/>
        </w:rPr>
      </w:pPr>
      <w:r w:rsidRPr="00ED172B">
        <w:rPr>
          <w:b/>
          <w:color w:val="000000" w:themeColor="text1"/>
        </w:rPr>
        <w:t>Measurement</w:t>
      </w:r>
    </w:p>
    <w:p w14:paraId="6C100C28" w14:textId="77777777" w:rsidR="005918D1" w:rsidRPr="00ED172B" w:rsidRDefault="005918D1" w:rsidP="00B609A4">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 xml:space="preserve">of infants and </w:t>
      </w:r>
      <w:proofErr w:type="gramStart"/>
      <w:r w:rsidRPr="00ED172B">
        <w:rPr>
          <w:color w:val="000000" w:themeColor="text1"/>
          <w:szCs w:val="16"/>
        </w:rPr>
        <w:t>toddlers</w:t>
      </w:r>
      <w:proofErr w:type="gramEnd"/>
      <w:r w:rsidRPr="00ED172B">
        <w:rPr>
          <w:color w:val="000000" w:themeColor="text1"/>
          <w:szCs w:val="16"/>
        </w:rPr>
        <w:t xml:space="preserve"> birth to 3 with IFSPs) divided by the (population of infants and </w:t>
      </w:r>
      <w:proofErr w:type="gramStart"/>
      <w:r w:rsidRPr="00ED172B">
        <w:rPr>
          <w:color w:val="000000" w:themeColor="text1"/>
          <w:szCs w:val="16"/>
        </w:rPr>
        <w:t>toddlers</w:t>
      </w:r>
      <w:proofErr w:type="gramEnd"/>
      <w:r w:rsidRPr="00ED172B">
        <w:rPr>
          <w:color w:val="000000" w:themeColor="text1"/>
          <w:szCs w:val="16"/>
        </w:rPr>
        <w:t xml:space="preserve"> birth to 3)] times 100.</w:t>
      </w:r>
    </w:p>
    <w:p w14:paraId="3EAF5BDC" w14:textId="77777777" w:rsidR="005918D1" w:rsidRPr="00ED172B" w:rsidRDefault="005918D1">
      <w:pPr>
        <w:rPr>
          <w:b/>
          <w:color w:val="000000" w:themeColor="text1"/>
        </w:rPr>
      </w:pPr>
      <w:r w:rsidRPr="00ED172B">
        <w:rPr>
          <w:b/>
          <w:color w:val="000000" w:themeColor="text1"/>
        </w:rPr>
        <w:t>Instructions</w:t>
      </w:r>
    </w:p>
    <w:p w14:paraId="6863CE2D"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57E98A95" w14:textId="77777777" w:rsidR="001C3D0E" w:rsidRDefault="001C3D0E" w:rsidP="00B609A4">
      <w:pPr>
        <w:rPr>
          <w:color w:val="000000" w:themeColor="text1"/>
          <w:szCs w:val="16"/>
        </w:rPr>
      </w:pPr>
      <w:r w:rsidRPr="00ED172B">
        <w:rPr>
          <w:color w:val="000000" w:themeColor="text1"/>
          <w:szCs w:val="16"/>
        </w:rPr>
        <w:t>Describe the results of the calculations. The data reported in this indicator should be consistent with the State’s reported 618 data reported in Table 1. If not, explain why.</w:t>
      </w:r>
    </w:p>
    <w:p w14:paraId="35766819" w14:textId="77777777" w:rsidR="003643D6" w:rsidRDefault="003643D6" w:rsidP="003643D6">
      <w:pPr>
        <w:rPr>
          <w:szCs w:val="16"/>
        </w:rPr>
      </w:pPr>
      <w:r w:rsidRPr="00FE01D6">
        <w:rPr>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analysis.</w:t>
      </w:r>
    </w:p>
    <w:p w14:paraId="1A844520" w14:textId="77777777" w:rsidR="000C6015" w:rsidRPr="00A40EE1" w:rsidRDefault="000D0117" w:rsidP="005C3FFD">
      <w:pPr>
        <w:pStyle w:val="Heading2"/>
      </w:pPr>
      <w:r w:rsidRPr="00A40EE1">
        <w:t xml:space="preserve">6 - </w:t>
      </w:r>
      <w:r w:rsidR="00B609A4" w:rsidRPr="00A40EE1">
        <w:t>Indicator Data</w:t>
      </w:r>
    </w:p>
    <w:p w14:paraId="5F5C9F62" w14:textId="77777777" w:rsidR="00C779B5" w:rsidRDefault="000F5FCD" w:rsidP="00C779B5">
      <w:r>
        <w:t>Historical Data</w:t>
      </w:r>
    </w:p>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21CE458D" w14:textId="77777777" w:rsidTr="00A40EE1">
        <w:trPr>
          <w:trHeight w:val="350"/>
          <w:tblHeader/>
        </w:trPr>
        <w:tc>
          <w:tcPr>
            <w:tcW w:w="2499" w:type="pct"/>
            <w:tcBorders>
              <w:bottom w:val="single" w:sz="4" w:space="0" w:color="auto"/>
            </w:tcBorders>
            <w:vAlign w:val="center"/>
          </w:tcPr>
          <w:p w14:paraId="7F5B6CBB" w14:textId="77777777"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vAlign w:val="center"/>
          </w:tcPr>
          <w:p w14:paraId="716744FB" w14:textId="77777777"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4C901463" w14:textId="77777777" w:rsidTr="00A40EE1">
        <w:trPr>
          <w:trHeight w:val="350"/>
        </w:trPr>
        <w:tc>
          <w:tcPr>
            <w:tcW w:w="2499" w:type="pct"/>
            <w:tcBorders>
              <w:bottom w:val="single" w:sz="4" w:space="0" w:color="auto"/>
            </w:tcBorders>
            <w:vAlign w:val="center"/>
          </w:tcPr>
          <w:p w14:paraId="014EE926"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vAlign w:val="center"/>
          </w:tcPr>
          <w:p w14:paraId="4B530FC0" w14:textId="77777777" w:rsidR="00CA65C9" w:rsidRPr="00ED172B" w:rsidRDefault="00CA65C9" w:rsidP="00C15786">
            <w:pPr>
              <w:jc w:val="center"/>
              <w:rPr>
                <w:b/>
                <w:color w:val="000000" w:themeColor="text1"/>
              </w:rPr>
            </w:pPr>
            <w:r w:rsidRPr="00ED172B">
              <w:rPr>
                <w:color w:val="000000" w:themeColor="text1"/>
              </w:rPr>
              <w:t>1.80%</w:t>
            </w:r>
          </w:p>
        </w:tc>
      </w:tr>
    </w:tbl>
    <w:p w14:paraId="4E6B04E3" w14:textId="77777777"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5E54C4D" w14:textId="77777777" w:rsidTr="00986B99">
        <w:trPr>
          <w:trHeight w:val="350"/>
        </w:trPr>
        <w:tc>
          <w:tcPr>
            <w:tcW w:w="415" w:type="pct"/>
            <w:tcBorders>
              <w:bottom w:val="single" w:sz="4" w:space="0" w:color="auto"/>
            </w:tcBorders>
          </w:tcPr>
          <w:p w14:paraId="7AA75A05" w14:textId="77777777" w:rsidR="00EF4A30" w:rsidRPr="00ED172B" w:rsidRDefault="00EF4A30" w:rsidP="00186420">
            <w:pPr>
              <w:jc w:val="center"/>
              <w:rPr>
                <w:b/>
                <w:color w:val="000000" w:themeColor="text1"/>
                <w:szCs w:val="16"/>
              </w:rPr>
            </w:pPr>
            <w:bookmarkStart w:id="37" w:name="_Toc392159294"/>
            <w:r w:rsidRPr="00ED172B">
              <w:rPr>
                <w:b/>
                <w:color w:val="000000" w:themeColor="text1"/>
                <w:szCs w:val="16"/>
              </w:rPr>
              <w:t>FFY</w:t>
            </w:r>
          </w:p>
        </w:tc>
        <w:tc>
          <w:tcPr>
            <w:tcW w:w="959" w:type="pct"/>
            <w:vAlign w:val="center"/>
          </w:tcPr>
          <w:p w14:paraId="01355EB1" w14:textId="77777777"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777E5CED" w14:textId="77777777"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45BFEBE1" w14:textId="77777777" w:rsidR="00EF4A30"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6EC8FED0" w14:textId="77777777" w:rsidR="00EF4A30"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2FE456DE" w14:textId="77777777" w:rsidR="00EF4A30"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6B916F44" w14:textId="77777777" w:rsidTr="00986B99">
        <w:trPr>
          <w:trHeight w:val="357"/>
        </w:trPr>
        <w:tc>
          <w:tcPr>
            <w:tcW w:w="415" w:type="pct"/>
          </w:tcPr>
          <w:p w14:paraId="28AD1505" w14:textId="77777777"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130C1BA3" w14:textId="77777777" w:rsidR="00EF4A30" w:rsidRPr="00ED172B" w:rsidRDefault="00860830" w:rsidP="00CD79C5">
            <w:pPr>
              <w:jc w:val="center"/>
              <w:rPr>
                <w:color w:val="000000" w:themeColor="text1"/>
                <w:szCs w:val="16"/>
              </w:rPr>
            </w:pPr>
            <w:r w:rsidRPr="00ED172B">
              <w:rPr>
                <w:rFonts w:cs="Arial"/>
                <w:color w:val="000000" w:themeColor="text1"/>
                <w:szCs w:val="16"/>
              </w:rPr>
              <w:t>2.37%</w:t>
            </w:r>
          </w:p>
        </w:tc>
        <w:tc>
          <w:tcPr>
            <w:tcW w:w="1026" w:type="pct"/>
            <w:vAlign w:val="center"/>
          </w:tcPr>
          <w:p w14:paraId="528D063E" w14:textId="77777777" w:rsidR="00EF4A30" w:rsidRPr="00ED172B" w:rsidRDefault="00860830" w:rsidP="00CD79C5">
            <w:pPr>
              <w:jc w:val="center"/>
              <w:rPr>
                <w:color w:val="000000" w:themeColor="text1"/>
                <w:szCs w:val="16"/>
              </w:rPr>
            </w:pPr>
            <w:r w:rsidRPr="00ED172B">
              <w:rPr>
                <w:rFonts w:cs="Arial"/>
                <w:color w:val="000000" w:themeColor="text1"/>
                <w:szCs w:val="16"/>
              </w:rPr>
              <w:t>3.37%</w:t>
            </w:r>
          </w:p>
        </w:tc>
        <w:tc>
          <w:tcPr>
            <w:tcW w:w="867" w:type="pct"/>
            <w:vAlign w:val="center"/>
          </w:tcPr>
          <w:p w14:paraId="0735640D" w14:textId="77777777" w:rsidR="00EF4A30" w:rsidRPr="00ED172B" w:rsidRDefault="00860830" w:rsidP="00CD79C5">
            <w:pPr>
              <w:jc w:val="center"/>
              <w:rPr>
                <w:color w:val="000000" w:themeColor="text1"/>
                <w:szCs w:val="16"/>
              </w:rPr>
            </w:pPr>
            <w:r w:rsidRPr="00ED172B">
              <w:rPr>
                <w:rFonts w:cs="Arial"/>
                <w:color w:val="000000" w:themeColor="text1"/>
                <w:szCs w:val="16"/>
              </w:rPr>
              <w:t>3.40%</w:t>
            </w:r>
          </w:p>
        </w:tc>
        <w:tc>
          <w:tcPr>
            <w:tcW w:w="867" w:type="pct"/>
            <w:vAlign w:val="center"/>
          </w:tcPr>
          <w:p w14:paraId="264BECF0" w14:textId="77777777" w:rsidR="00EF4A30" w:rsidRPr="00ED172B" w:rsidRDefault="00860830" w:rsidP="00CD79C5">
            <w:pPr>
              <w:jc w:val="center"/>
              <w:rPr>
                <w:color w:val="000000" w:themeColor="text1"/>
                <w:szCs w:val="16"/>
              </w:rPr>
            </w:pPr>
            <w:r w:rsidRPr="00ED172B">
              <w:rPr>
                <w:rFonts w:cs="Arial"/>
                <w:color w:val="000000" w:themeColor="text1"/>
                <w:szCs w:val="16"/>
              </w:rPr>
              <w:t>3.43%</w:t>
            </w:r>
          </w:p>
        </w:tc>
        <w:tc>
          <w:tcPr>
            <w:tcW w:w="866" w:type="pct"/>
            <w:vAlign w:val="center"/>
          </w:tcPr>
          <w:p w14:paraId="49CD7F17" w14:textId="77777777" w:rsidR="00EF4A30" w:rsidRPr="00ED172B" w:rsidRDefault="00860830" w:rsidP="00CD79C5">
            <w:pPr>
              <w:jc w:val="center"/>
              <w:rPr>
                <w:color w:val="000000" w:themeColor="text1"/>
                <w:szCs w:val="16"/>
              </w:rPr>
            </w:pPr>
            <w:r w:rsidRPr="00ED172B">
              <w:rPr>
                <w:rFonts w:cs="Arial"/>
                <w:color w:val="000000" w:themeColor="text1"/>
                <w:szCs w:val="16"/>
              </w:rPr>
              <w:t>3.46%</w:t>
            </w:r>
          </w:p>
        </w:tc>
      </w:tr>
      <w:tr w:rsidR="00ED172B" w:rsidRPr="00ED172B" w14:paraId="3CA4AA56" w14:textId="77777777" w:rsidTr="00986B99">
        <w:trPr>
          <w:trHeight w:val="85"/>
        </w:trPr>
        <w:tc>
          <w:tcPr>
            <w:tcW w:w="415" w:type="pct"/>
          </w:tcPr>
          <w:p w14:paraId="456682B5"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vAlign w:val="center"/>
          </w:tcPr>
          <w:p w14:paraId="08B12F1A" w14:textId="77777777" w:rsidR="00EF4A30" w:rsidRPr="00ED172B" w:rsidRDefault="00860830" w:rsidP="00CD79C5">
            <w:pPr>
              <w:jc w:val="center"/>
              <w:rPr>
                <w:color w:val="000000" w:themeColor="text1"/>
                <w:szCs w:val="16"/>
              </w:rPr>
            </w:pPr>
            <w:r w:rsidRPr="00ED172B">
              <w:rPr>
                <w:rFonts w:cs="Arial"/>
                <w:color w:val="000000" w:themeColor="text1"/>
                <w:szCs w:val="16"/>
              </w:rPr>
              <w:t>3.43%</w:t>
            </w:r>
          </w:p>
        </w:tc>
        <w:tc>
          <w:tcPr>
            <w:tcW w:w="1026" w:type="pct"/>
            <w:vAlign w:val="center"/>
          </w:tcPr>
          <w:p w14:paraId="1068A7A7" w14:textId="77777777" w:rsidR="00EF4A30" w:rsidRPr="00ED172B" w:rsidRDefault="00860830" w:rsidP="00CD79C5">
            <w:pPr>
              <w:jc w:val="center"/>
              <w:rPr>
                <w:color w:val="000000" w:themeColor="text1"/>
                <w:szCs w:val="16"/>
              </w:rPr>
            </w:pPr>
            <w:r w:rsidRPr="00ED172B">
              <w:rPr>
                <w:rFonts w:cs="Arial"/>
                <w:color w:val="000000" w:themeColor="text1"/>
                <w:szCs w:val="16"/>
              </w:rPr>
              <w:t>3.38%</w:t>
            </w:r>
          </w:p>
        </w:tc>
        <w:tc>
          <w:tcPr>
            <w:tcW w:w="867" w:type="pct"/>
            <w:tcBorders>
              <w:bottom w:val="single" w:sz="4" w:space="0" w:color="auto"/>
            </w:tcBorders>
            <w:vAlign w:val="center"/>
          </w:tcPr>
          <w:p w14:paraId="19F475C8" w14:textId="77777777" w:rsidR="00EF4A30" w:rsidRPr="00ED172B" w:rsidRDefault="00860830" w:rsidP="00CD79C5">
            <w:pPr>
              <w:jc w:val="center"/>
              <w:rPr>
                <w:color w:val="000000" w:themeColor="text1"/>
                <w:szCs w:val="16"/>
              </w:rPr>
            </w:pPr>
            <w:r w:rsidRPr="00ED172B">
              <w:rPr>
                <w:rFonts w:cs="Arial"/>
                <w:color w:val="000000" w:themeColor="text1"/>
                <w:szCs w:val="16"/>
              </w:rPr>
              <w:t>3.69%</w:t>
            </w:r>
          </w:p>
        </w:tc>
        <w:tc>
          <w:tcPr>
            <w:tcW w:w="867" w:type="pct"/>
            <w:tcBorders>
              <w:bottom w:val="single" w:sz="4" w:space="0" w:color="auto"/>
            </w:tcBorders>
            <w:vAlign w:val="center"/>
          </w:tcPr>
          <w:p w14:paraId="52573167" w14:textId="77777777" w:rsidR="00EF4A30" w:rsidRPr="00ED172B" w:rsidRDefault="00860830" w:rsidP="00CD79C5">
            <w:pPr>
              <w:jc w:val="center"/>
              <w:rPr>
                <w:color w:val="000000" w:themeColor="text1"/>
                <w:szCs w:val="16"/>
              </w:rPr>
            </w:pPr>
            <w:r w:rsidRPr="00ED172B">
              <w:rPr>
                <w:rFonts w:cs="Arial"/>
                <w:color w:val="000000" w:themeColor="text1"/>
                <w:szCs w:val="16"/>
              </w:rPr>
              <w:t>3.93%</w:t>
            </w:r>
          </w:p>
        </w:tc>
        <w:tc>
          <w:tcPr>
            <w:tcW w:w="866" w:type="pct"/>
            <w:tcBorders>
              <w:bottom w:val="single" w:sz="4" w:space="0" w:color="auto"/>
            </w:tcBorders>
            <w:vAlign w:val="center"/>
          </w:tcPr>
          <w:p w14:paraId="760F1BA6" w14:textId="77777777" w:rsidR="00EF4A30" w:rsidRPr="00ED172B" w:rsidRDefault="00860830" w:rsidP="00CD79C5">
            <w:pPr>
              <w:jc w:val="center"/>
              <w:rPr>
                <w:color w:val="000000" w:themeColor="text1"/>
                <w:szCs w:val="16"/>
              </w:rPr>
            </w:pPr>
            <w:r w:rsidRPr="00ED172B">
              <w:rPr>
                <w:rFonts w:cs="Arial"/>
                <w:color w:val="000000" w:themeColor="text1"/>
                <w:szCs w:val="16"/>
              </w:rPr>
              <w:t>3.86%</w:t>
            </w:r>
          </w:p>
        </w:tc>
      </w:tr>
    </w:tbl>
    <w:p w14:paraId="142788FA" w14:textId="77777777" w:rsidR="00EF4A30" w:rsidRPr="00ED172B" w:rsidRDefault="00EF4A30">
      <w:pPr>
        <w:rPr>
          <w:b/>
          <w:color w:val="000000" w:themeColor="text1"/>
        </w:rPr>
      </w:pPr>
      <w:r w:rsidRPr="00ED172B">
        <w:rPr>
          <w:b/>
          <w:color w:val="000000" w:themeColor="text1"/>
        </w:rPr>
        <w:t>Targets</w:t>
      </w:r>
    </w:p>
    <w:tbl>
      <w:tblPr>
        <w:tblW w:w="2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1"/>
        <w:gridCol w:w="1542"/>
        <w:gridCol w:w="1542"/>
      </w:tblGrid>
      <w:tr w:rsidR="00CF59E2" w:rsidRPr="00ED172B" w14:paraId="48C38E8D" w14:textId="77777777" w:rsidTr="00811738">
        <w:trPr>
          <w:trHeight w:val="277"/>
        </w:trPr>
        <w:tc>
          <w:tcPr>
            <w:tcW w:w="1665" w:type="pct"/>
            <w:tcBorders>
              <w:bottom w:val="single" w:sz="4" w:space="0" w:color="auto"/>
            </w:tcBorders>
          </w:tcPr>
          <w:p w14:paraId="4BBE893B"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1667" w:type="pct"/>
            <w:vAlign w:val="center"/>
          </w:tcPr>
          <w:p w14:paraId="67A36EED"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7" w:type="pct"/>
          </w:tcPr>
          <w:p w14:paraId="03E379C8"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374EE5F2" w14:textId="77777777" w:rsidTr="00811738">
        <w:trPr>
          <w:trHeight w:val="283"/>
        </w:trPr>
        <w:tc>
          <w:tcPr>
            <w:tcW w:w="1665" w:type="pct"/>
          </w:tcPr>
          <w:p w14:paraId="11408719" w14:textId="77777777"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667" w:type="pct"/>
            <w:vAlign w:val="center"/>
          </w:tcPr>
          <w:p w14:paraId="738B95AF" w14:textId="77777777" w:rsidR="00CF59E2" w:rsidRPr="00ED172B" w:rsidRDefault="00CF59E2" w:rsidP="006B2FE9">
            <w:pPr>
              <w:jc w:val="center"/>
              <w:rPr>
                <w:color w:val="000000" w:themeColor="text1"/>
              </w:rPr>
            </w:pPr>
            <w:r w:rsidRPr="00ED172B">
              <w:rPr>
                <w:color w:val="000000" w:themeColor="text1"/>
              </w:rPr>
              <w:t>3.49%</w:t>
            </w:r>
          </w:p>
        </w:tc>
        <w:tc>
          <w:tcPr>
            <w:tcW w:w="1667" w:type="pct"/>
          </w:tcPr>
          <w:p w14:paraId="4CFA3EFA" w14:textId="77777777" w:rsidR="00CF59E2" w:rsidRPr="00811738" w:rsidRDefault="00CF59E2" w:rsidP="006B2FE9">
            <w:pPr>
              <w:jc w:val="center"/>
              <w:rPr>
                <w:strike/>
                <w:color w:val="000000" w:themeColor="text1"/>
              </w:rPr>
            </w:pPr>
            <w:r>
              <w:rPr>
                <w:rFonts w:cs="Arial"/>
                <w:color w:val="000000" w:themeColor="text1"/>
                <w:szCs w:val="16"/>
              </w:rPr>
              <w:t>3.52%</w:t>
            </w:r>
          </w:p>
        </w:tc>
      </w:tr>
    </w:tbl>
    <w:p w14:paraId="68D848AF" w14:textId="77777777" w:rsidR="00F80C9C" w:rsidRDefault="00F80C9C" w:rsidP="00F80C9C">
      <w:pPr>
        <w:pStyle w:val="Bold"/>
        <w:rPr>
          <w:color w:val="000000" w:themeColor="text1"/>
        </w:rPr>
      </w:pPr>
      <w:r w:rsidRPr="00ED172B">
        <w:rPr>
          <w:color w:val="000000" w:themeColor="text1"/>
        </w:rPr>
        <w:t xml:space="preserve">Targets: Description of Stakeholder Input </w:t>
      </w:r>
    </w:p>
    <w:p w14:paraId="4C693E43" w14:textId="77777777" w:rsidR="00B91988" w:rsidRDefault="00CF03E0" w:rsidP="00ED172B">
      <w:pPr>
        <w:rPr>
          <w:color w:val="000000" w:themeColor="text1"/>
        </w:rPr>
      </w:pPr>
      <w:r w:rsidRPr="00ED172B">
        <w:rPr>
          <w:color w:val="000000" w:themeColor="text1"/>
        </w:rPr>
        <w:t>TEIS incorporates broad stakeholder input when addressing areas of need within the system through multiple channels, including:</w:t>
      </w:r>
    </w:p>
    <w:p w14:paraId="7C865E43" w14:textId="77777777" w:rsidR="007876EE" w:rsidRDefault="007876EE"/>
    <w:p w14:paraId="49DB2CF2" w14:textId="77777777" w:rsidR="007876EE" w:rsidRDefault="00000000">
      <w:r>
        <w:rPr>
          <w:color w:val="000000"/>
        </w:rPr>
        <w:t>-State Interagency Coordinating Council (SICC) membership and attending visitors.</w:t>
      </w:r>
    </w:p>
    <w:p w14:paraId="78581C73" w14:textId="77777777" w:rsidR="007876EE" w:rsidRDefault="00000000">
      <w:r>
        <w:rPr>
          <w:color w:val="000000"/>
        </w:rPr>
        <w:t>-TEIS, EIRA, and Vendor Advisory Councils.</w:t>
      </w:r>
    </w:p>
    <w:p w14:paraId="67484E21" w14:textId="77777777" w:rsidR="007876EE" w:rsidRDefault="00000000">
      <w:r>
        <w:rPr>
          <w:color w:val="000000"/>
        </w:rPr>
        <w:t>-Office Hours sessions.</w:t>
      </w:r>
    </w:p>
    <w:p w14:paraId="5BEA269F" w14:textId="77777777" w:rsidR="007876EE" w:rsidRDefault="00000000">
      <w:r>
        <w:rPr>
          <w:color w:val="000000"/>
        </w:rPr>
        <w:t>-Feedback from family surveys, advocacy groups, and local engagement efforts.</w:t>
      </w:r>
    </w:p>
    <w:p w14:paraId="40D88B69" w14:textId="77777777" w:rsidR="007876EE" w:rsidRDefault="007876EE"/>
    <w:p w14:paraId="4E691954" w14:textId="77777777" w:rsidR="007876EE" w:rsidRDefault="00000000">
      <w:r>
        <w:rPr>
          <w:color w:val="000000"/>
        </w:rPr>
        <w:t>The TEIS website and department newsletter provide stakeholders with consistent updates on program activities and service delivery.</w:t>
      </w:r>
    </w:p>
    <w:p w14:paraId="30FD91B8" w14:textId="77777777" w:rsidR="007876EE" w:rsidRDefault="007876EE"/>
    <w:p w14:paraId="0ACC1065" w14:textId="77777777" w:rsidR="007876EE" w:rsidRDefault="00000000">
      <w:r>
        <w:rPr>
          <w:color w:val="000000"/>
        </w:rPr>
        <w:t>State Interagency Coordinating Council (SICC)</w:t>
      </w:r>
    </w:p>
    <w:p w14:paraId="519DB048"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29809FD6" w14:textId="77777777" w:rsidR="007876EE" w:rsidRDefault="007876EE"/>
    <w:p w14:paraId="46809AE0" w14:textId="77777777" w:rsidR="007876EE" w:rsidRDefault="00000000">
      <w:r>
        <w:rPr>
          <w:color w:val="000000"/>
        </w:rPr>
        <w:t>Meetings are open to the public, and agenda topics can be submitted via the TEIS website. Topics addressed in 2024-25 included:</w:t>
      </w:r>
    </w:p>
    <w:p w14:paraId="4EC25DD0" w14:textId="77777777" w:rsidR="007876EE" w:rsidRDefault="00000000">
      <w:r>
        <w:rPr>
          <w:color w:val="000000"/>
        </w:rPr>
        <w:t>-HOPE Family Survey results and feedback.</w:t>
      </w:r>
    </w:p>
    <w:p w14:paraId="1195D79F" w14:textId="77777777" w:rsidR="007876EE" w:rsidRDefault="00000000">
      <w:r>
        <w:rPr>
          <w:color w:val="000000"/>
        </w:rPr>
        <w:t>-Results Monitoring.</w:t>
      </w:r>
    </w:p>
    <w:p w14:paraId="3C7DA72F" w14:textId="77777777" w:rsidR="007876EE" w:rsidRDefault="00000000">
      <w:r>
        <w:rPr>
          <w:color w:val="000000"/>
        </w:rPr>
        <w:t>-TEIS Central Office team functions.</w:t>
      </w:r>
    </w:p>
    <w:p w14:paraId="3B83874C" w14:textId="77777777" w:rsidR="007876EE" w:rsidRDefault="00000000">
      <w:r>
        <w:rPr>
          <w:color w:val="000000"/>
        </w:rPr>
        <w:t>-POE initiatives and regional goals.</w:t>
      </w:r>
    </w:p>
    <w:p w14:paraId="3FEA448D" w14:textId="77777777" w:rsidR="007876EE" w:rsidRDefault="00000000">
      <w:r>
        <w:rPr>
          <w:color w:val="000000"/>
        </w:rPr>
        <w:t>-Other program updates.</w:t>
      </w:r>
    </w:p>
    <w:p w14:paraId="1954BC2D" w14:textId="77777777" w:rsidR="007876EE" w:rsidRDefault="007876EE"/>
    <w:p w14:paraId="62C3D3DA" w14:textId="77777777" w:rsidR="007876EE" w:rsidRDefault="00000000">
      <w:r>
        <w:rPr>
          <w:color w:val="000000"/>
        </w:rPr>
        <w:t>Additionally, SICC provided direct feedback to OSEP during Tennessee’s DMS 2.0 audit.</w:t>
      </w:r>
    </w:p>
    <w:p w14:paraId="0DA3334E" w14:textId="77777777" w:rsidR="007876EE" w:rsidRDefault="007876EE"/>
    <w:p w14:paraId="48F3FA66" w14:textId="77777777" w:rsidR="007876EE" w:rsidRDefault="00000000">
      <w:r>
        <w:rPr>
          <w:color w:val="000000"/>
        </w:rPr>
        <w:t>Advisory Councils</w:t>
      </w:r>
    </w:p>
    <w:p w14:paraId="52D9E455" w14:textId="77777777" w:rsidR="007876EE" w:rsidRDefault="00000000">
      <w:r>
        <w:rPr>
          <w:color w:val="000000"/>
        </w:rPr>
        <w:t>Two advisory councils serve as key feedback channels:</w:t>
      </w:r>
    </w:p>
    <w:p w14:paraId="0C198373" w14:textId="77777777" w:rsidR="007876EE" w:rsidRDefault="00000000">
      <w:r>
        <w:rPr>
          <w:color w:val="000000"/>
        </w:rPr>
        <w:lastRenderedPageBreak/>
        <w:t>-Early Intervention Resource Agency (EIRA) Advisory Council – Agencies providing developmental therapy.</w:t>
      </w:r>
    </w:p>
    <w:p w14:paraId="49D47BD6" w14:textId="77777777" w:rsidR="007876EE" w:rsidRDefault="00000000">
      <w:r>
        <w:rPr>
          <w:color w:val="000000"/>
        </w:rPr>
        <w:t>-Vendor Advisory Council – Agencies providing therapy services (speech, physical, occupational).</w:t>
      </w:r>
    </w:p>
    <w:p w14:paraId="779FAF42" w14:textId="77777777" w:rsidR="007876EE" w:rsidRDefault="007876EE"/>
    <w:p w14:paraId="4413741B" w14:textId="77777777" w:rsidR="007876EE" w:rsidRDefault="00000000">
      <w:r>
        <w:rPr>
          <w:color w:val="000000"/>
        </w:rPr>
        <w:t>Updates from both councils are shared at quarterly SICC meetings. Membership includes contracted EIS provider agencies.</w:t>
      </w:r>
    </w:p>
    <w:p w14:paraId="395A16D6" w14:textId="77777777" w:rsidR="007876EE" w:rsidRDefault="007876EE"/>
    <w:p w14:paraId="502AE037" w14:textId="77777777" w:rsidR="007876EE" w:rsidRDefault="00000000">
      <w:r>
        <w:rPr>
          <w:color w:val="000000"/>
        </w:rPr>
        <w:t>EIRA Advisory Council focuses on:</w:t>
      </w:r>
    </w:p>
    <w:p w14:paraId="17E87AF8" w14:textId="77777777" w:rsidR="007876EE" w:rsidRDefault="00000000">
      <w:r>
        <w:rPr>
          <w:color w:val="000000"/>
        </w:rPr>
        <w:t>-Improving services for children and families.</w:t>
      </w:r>
    </w:p>
    <w:p w14:paraId="4CC23F87" w14:textId="77777777" w:rsidR="007876EE" w:rsidRDefault="00000000">
      <w:r>
        <w:rPr>
          <w:color w:val="000000"/>
        </w:rPr>
        <w:t>-Increasing access to services statewide.</w:t>
      </w:r>
    </w:p>
    <w:p w14:paraId="530C0A2A" w14:textId="77777777" w:rsidR="007876EE" w:rsidRDefault="00000000">
      <w:r>
        <w:rPr>
          <w:color w:val="000000"/>
        </w:rPr>
        <w:t>-Enhancing communication between TEIS and EIRAs.</w:t>
      </w:r>
    </w:p>
    <w:p w14:paraId="0FEECB39" w14:textId="77777777" w:rsidR="007876EE" w:rsidRDefault="007876EE"/>
    <w:p w14:paraId="56F6F4A4"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5B14147D" w14:textId="77777777" w:rsidR="007876EE" w:rsidRDefault="007876EE"/>
    <w:p w14:paraId="2C62E23E" w14:textId="77777777" w:rsidR="007876EE" w:rsidRDefault="00000000">
      <w:r>
        <w:rPr>
          <w:color w:val="000000"/>
        </w:rPr>
        <w:t>Vendor Advisory Council collaborates on:</w:t>
      </w:r>
    </w:p>
    <w:p w14:paraId="688E2E67" w14:textId="77777777" w:rsidR="007876EE" w:rsidRDefault="00000000">
      <w:r>
        <w:rPr>
          <w:color w:val="000000"/>
        </w:rPr>
        <w:t>-Issues impacting therapy vendors.</w:t>
      </w:r>
    </w:p>
    <w:p w14:paraId="31970301" w14:textId="77777777" w:rsidR="007876EE" w:rsidRDefault="00000000">
      <w:r>
        <w:rPr>
          <w:color w:val="000000"/>
        </w:rPr>
        <w:t>-Streamlining billing and business processes.</w:t>
      </w:r>
    </w:p>
    <w:p w14:paraId="095B1230" w14:textId="77777777" w:rsidR="007876EE" w:rsidRDefault="00000000">
      <w:r>
        <w:rPr>
          <w:color w:val="000000"/>
        </w:rPr>
        <w:t>-Improving IFSP teaming in partnership with the EIRA Advisory Council.</w:t>
      </w:r>
    </w:p>
    <w:p w14:paraId="05D5603B" w14:textId="77777777" w:rsidR="007876EE" w:rsidRDefault="007876EE"/>
    <w:p w14:paraId="65D97207" w14:textId="77777777" w:rsidR="007876EE" w:rsidRDefault="00000000">
      <w:r>
        <w:rPr>
          <w:color w:val="000000"/>
        </w:rPr>
        <w:t>Council Structure</w:t>
      </w:r>
    </w:p>
    <w:p w14:paraId="61F85207"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0E6FCE6E" w14:textId="77777777" w:rsidR="007876EE" w:rsidRDefault="007876EE"/>
    <w:p w14:paraId="724F1D69" w14:textId="77777777" w:rsidR="007876EE" w:rsidRDefault="00000000">
      <w:r>
        <w:rPr>
          <w:color w:val="000000"/>
        </w:rPr>
        <w:t>Office Hours</w:t>
      </w:r>
    </w:p>
    <w:p w14:paraId="602841F9"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0377DEFA" w14:textId="77777777" w:rsidR="007876EE" w:rsidRDefault="007876EE"/>
    <w:p w14:paraId="28B1D76A" w14:textId="77777777" w:rsidR="007876EE" w:rsidRDefault="00000000">
      <w:r>
        <w:rPr>
          <w:color w:val="000000"/>
        </w:rPr>
        <w:t>Parent Engagement</w:t>
      </w:r>
    </w:p>
    <w:p w14:paraId="49A1D8FF" w14:textId="77777777" w:rsidR="007876EE" w:rsidRDefault="00000000">
      <w:r>
        <w:rPr>
          <w:color w:val="000000"/>
        </w:rPr>
        <w:t>Stakeholder engagement activities—along with professional development and technical assistance—help build the capacity of parents through:</w:t>
      </w:r>
    </w:p>
    <w:p w14:paraId="610E8028" w14:textId="77777777" w:rsidR="007876EE" w:rsidRDefault="00000000">
      <w:r>
        <w:rPr>
          <w:color w:val="000000"/>
        </w:rPr>
        <w:t>-Direct engagement: Participation in SICC or local councils, training sessions, surveys, and direct communication with TEIS leadership.</w:t>
      </w:r>
    </w:p>
    <w:p w14:paraId="0457705A" w14:textId="77777777" w:rsidR="007876EE" w:rsidRDefault="00000000">
      <w:r>
        <w:rPr>
          <w:color w:val="000000"/>
        </w:rPr>
        <w:t>-Indirect engagement: Training and monitoring systems that strengthen IFSP team members’ knowledge and skills, benefiting children and families.</w:t>
      </w:r>
    </w:p>
    <w:p w14:paraId="297DDCCD" w14:textId="77777777" w:rsidR="004A1179" w:rsidRPr="00ED172B" w:rsidRDefault="004A1179" w:rsidP="00F80C9C">
      <w:pPr>
        <w:pStyle w:val="Bold"/>
        <w:rPr>
          <w:b w:val="0"/>
          <w:color w:val="000000" w:themeColor="text1"/>
        </w:rPr>
      </w:pPr>
    </w:p>
    <w:p w14:paraId="5C8C6F79"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6377E597" w14:textId="77777777" w:rsidTr="00986B99">
        <w:trPr>
          <w:trHeight w:val="372"/>
          <w:tblHeader/>
        </w:trPr>
        <w:tc>
          <w:tcPr>
            <w:tcW w:w="1457" w:type="pct"/>
          </w:tcPr>
          <w:p w14:paraId="129D6E58"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tcPr>
          <w:p w14:paraId="3C9EE356"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tcPr>
          <w:p w14:paraId="36842B04"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07730AF4"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0BF23270" w14:textId="77777777" w:rsidTr="00986B99">
        <w:trPr>
          <w:trHeight w:val="380"/>
        </w:trPr>
        <w:tc>
          <w:tcPr>
            <w:tcW w:w="1457" w:type="pct"/>
            <w:vAlign w:val="center"/>
          </w:tcPr>
          <w:p w14:paraId="09AFBF7B" w14:textId="77777777" w:rsidR="00B609A4" w:rsidRPr="00ED172B" w:rsidRDefault="00753E04" w:rsidP="00715B7C">
            <w:pPr>
              <w:jc w:val="center"/>
              <w:rPr>
                <w:rFonts w:cs="Arial"/>
                <w:color w:val="000000" w:themeColor="text1"/>
                <w:szCs w:val="16"/>
              </w:rPr>
            </w:pPr>
            <w:r w:rsidRPr="00ED172B">
              <w:rPr>
                <w:rFonts w:cs="Arial"/>
                <w:color w:val="000000" w:themeColor="text1"/>
                <w:szCs w:val="16"/>
              </w:rPr>
              <w:t>SY 2024-25 IDEA Part C Child Count - Infants and Toddlers with Disabilities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FS902; Data group 5023)</w:t>
            </w:r>
          </w:p>
        </w:tc>
        <w:tc>
          <w:tcPr>
            <w:tcW w:w="1585" w:type="pct"/>
            <w:vAlign w:val="center"/>
          </w:tcPr>
          <w:p w14:paraId="36517B32" w14:textId="77777777" w:rsidR="00B609A4" w:rsidRPr="00ED172B" w:rsidRDefault="00753E04" w:rsidP="00715B7C">
            <w:pPr>
              <w:jc w:val="center"/>
              <w:rPr>
                <w:rFonts w:cs="Arial"/>
                <w:color w:val="000000" w:themeColor="text1"/>
                <w:szCs w:val="16"/>
              </w:rPr>
            </w:pPr>
            <w:r w:rsidRPr="00ED172B">
              <w:rPr>
                <w:rFonts w:cs="Arial"/>
                <w:color w:val="000000" w:themeColor="text1"/>
                <w:szCs w:val="16"/>
              </w:rPr>
              <w:t>07/30/2025</w:t>
            </w:r>
          </w:p>
        </w:tc>
        <w:tc>
          <w:tcPr>
            <w:tcW w:w="1167" w:type="pct"/>
            <w:vAlign w:val="center"/>
          </w:tcPr>
          <w:p w14:paraId="6EEFF8C4" w14:textId="77777777" w:rsidR="00B609A4" w:rsidRPr="00ED172B" w:rsidRDefault="00B609A4" w:rsidP="00715B7C">
            <w:pPr>
              <w:jc w:val="center"/>
              <w:rPr>
                <w:rFonts w:cs="Arial"/>
                <w:color w:val="000000" w:themeColor="text1"/>
                <w:szCs w:val="16"/>
              </w:rPr>
            </w:pPr>
            <w:r w:rsidRPr="00ED172B">
              <w:rPr>
                <w:rFonts w:cs="Arial"/>
                <w:color w:val="000000" w:themeColor="text1"/>
                <w:szCs w:val="16"/>
              </w:rPr>
              <w:t xml:space="preserve">Number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3 with IFSPs</w:t>
            </w:r>
          </w:p>
        </w:tc>
        <w:tc>
          <w:tcPr>
            <w:tcW w:w="791" w:type="pct"/>
            <w:vAlign w:val="center"/>
          </w:tcPr>
          <w:p w14:paraId="07275B9C" w14:textId="77777777" w:rsidR="00B609A4" w:rsidRPr="00ED172B" w:rsidRDefault="00860830" w:rsidP="00715B7C">
            <w:pPr>
              <w:jc w:val="center"/>
              <w:rPr>
                <w:rFonts w:cs="Arial"/>
                <w:color w:val="000000" w:themeColor="text1"/>
                <w:szCs w:val="16"/>
              </w:rPr>
            </w:pPr>
            <w:r w:rsidRPr="00ED172B">
              <w:rPr>
                <w:color w:val="000000" w:themeColor="text1"/>
                <w:szCs w:val="16"/>
              </w:rPr>
              <w:t>9,892</w:t>
            </w:r>
          </w:p>
        </w:tc>
      </w:tr>
      <w:tr w:rsidR="00ED172B" w:rsidRPr="00ED172B" w14:paraId="79A7B818" w14:textId="77777777" w:rsidTr="00986B99">
        <w:trPr>
          <w:trHeight w:val="380"/>
        </w:trPr>
        <w:tc>
          <w:tcPr>
            <w:tcW w:w="1457" w:type="pct"/>
            <w:vAlign w:val="center"/>
          </w:tcPr>
          <w:p w14:paraId="6585A018" w14:textId="77777777"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 xml:space="preserve">Annual State Resident Population Estimates for 6 Race Groups (5 Race Alone Groups and Two or More Races) by Age, Sex, and Hispanic Origin: April 1, </w:t>
            </w:r>
            <w:proofErr w:type="gramStart"/>
            <w:r w:rsidRPr="00ED172B">
              <w:rPr>
                <w:rFonts w:cs="Arial"/>
                <w:color w:val="000000" w:themeColor="text1"/>
                <w:szCs w:val="16"/>
                <w:shd w:val="clear" w:color="auto" w:fill="FFFFFF"/>
              </w:rPr>
              <w:t>2020</w:t>
            </w:r>
            <w:proofErr w:type="gramEnd"/>
            <w:r w:rsidRPr="00ED172B">
              <w:rPr>
                <w:rFonts w:cs="Arial"/>
                <w:color w:val="000000" w:themeColor="text1"/>
                <w:szCs w:val="16"/>
                <w:shd w:val="clear" w:color="auto" w:fill="FFFFFF"/>
              </w:rPr>
              <w:t xml:space="preserve"> to July 1, 2024</w:t>
            </w:r>
          </w:p>
        </w:tc>
        <w:tc>
          <w:tcPr>
            <w:tcW w:w="1585" w:type="pct"/>
            <w:vAlign w:val="center"/>
          </w:tcPr>
          <w:p w14:paraId="525B9567" w14:textId="77777777"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06/03/2025</w:t>
            </w:r>
          </w:p>
        </w:tc>
        <w:tc>
          <w:tcPr>
            <w:tcW w:w="1167" w:type="pct"/>
            <w:vAlign w:val="center"/>
          </w:tcPr>
          <w:p w14:paraId="1E7F84B6" w14:textId="77777777" w:rsidR="00B609A4" w:rsidRPr="00ED172B" w:rsidRDefault="00B609A4" w:rsidP="00715B7C">
            <w:pPr>
              <w:jc w:val="center"/>
              <w:rPr>
                <w:rFonts w:cs="Arial"/>
                <w:color w:val="000000" w:themeColor="text1"/>
                <w:szCs w:val="16"/>
              </w:rPr>
            </w:pPr>
            <w:r w:rsidRPr="00ED172B">
              <w:rPr>
                <w:rFonts w:cs="Arial"/>
                <w:color w:val="000000" w:themeColor="text1"/>
                <w:szCs w:val="16"/>
              </w:rPr>
              <w:t xml:space="preserve">Population of infants and </w:t>
            </w:r>
            <w:proofErr w:type="gramStart"/>
            <w:r w:rsidRPr="00ED172B">
              <w:rPr>
                <w:rFonts w:cs="Arial"/>
                <w:color w:val="000000" w:themeColor="text1"/>
                <w:szCs w:val="16"/>
              </w:rPr>
              <w:t>toddlers</w:t>
            </w:r>
            <w:proofErr w:type="gramEnd"/>
            <w:r w:rsidRPr="00ED172B">
              <w:rPr>
                <w:rFonts w:cs="Arial"/>
                <w:color w:val="000000" w:themeColor="text1"/>
                <w:szCs w:val="16"/>
              </w:rPr>
              <w:t xml:space="preserve"> birth to 3</w:t>
            </w:r>
          </w:p>
        </w:tc>
        <w:tc>
          <w:tcPr>
            <w:tcW w:w="791" w:type="pct"/>
            <w:vAlign w:val="center"/>
          </w:tcPr>
          <w:p w14:paraId="1D12EA00" w14:textId="77777777" w:rsidR="00B609A4" w:rsidRPr="00ED172B" w:rsidRDefault="00860830" w:rsidP="00715B7C">
            <w:pPr>
              <w:jc w:val="center"/>
              <w:rPr>
                <w:rFonts w:cs="Arial"/>
                <w:color w:val="000000" w:themeColor="text1"/>
                <w:szCs w:val="16"/>
              </w:rPr>
            </w:pPr>
            <w:r w:rsidRPr="00ED172B">
              <w:rPr>
                <w:color w:val="000000" w:themeColor="text1"/>
                <w:szCs w:val="16"/>
              </w:rPr>
              <w:t>250,213</w:t>
            </w:r>
          </w:p>
        </w:tc>
      </w:tr>
    </w:tbl>
    <w:p w14:paraId="324E7678" w14:textId="77777777" w:rsidR="00B609A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733DDA2D" w14:textId="77777777" w:rsidTr="00986B99">
        <w:trPr>
          <w:trHeight w:val="359"/>
          <w:tblHeader/>
        </w:trPr>
        <w:tc>
          <w:tcPr>
            <w:tcW w:w="1126" w:type="pct"/>
            <w:vAlign w:val="bottom"/>
          </w:tcPr>
          <w:p w14:paraId="072395EA"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 xml:space="preserve">Number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3 with IFSPs</w:t>
            </w:r>
          </w:p>
        </w:tc>
        <w:tc>
          <w:tcPr>
            <w:tcW w:w="959" w:type="pct"/>
            <w:vAlign w:val="bottom"/>
          </w:tcPr>
          <w:p w14:paraId="7B3AEDF2" w14:textId="77777777" w:rsidR="00967D30" w:rsidRPr="00ED172B" w:rsidRDefault="00967D30" w:rsidP="00967D30">
            <w:pPr>
              <w:jc w:val="center"/>
              <w:rPr>
                <w:rFonts w:cs="Arial"/>
                <w:color w:val="000000" w:themeColor="text1"/>
                <w:szCs w:val="16"/>
              </w:rPr>
            </w:pPr>
            <w:r w:rsidRPr="00ED172B">
              <w:rPr>
                <w:rFonts w:cs="Arial"/>
                <w:b/>
                <w:color w:val="000000" w:themeColor="text1"/>
                <w:szCs w:val="16"/>
              </w:rPr>
              <w:t xml:space="preserve">Population of infants and </w:t>
            </w:r>
            <w:proofErr w:type="gramStart"/>
            <w:r w:rsidRPr="00ED172B">
              <w:rPr>
                <w:rFonts w:cs="Arial"/>
                <w:b/>
                <w:color w:val="000000" w:themeColor="text1"/>
                <w:szCs w:val="16"/>
              </w:rPr>
              <w:t>toddlers</w:t>
            </w:r>
            <w:proofErr w:type="gramEnd"/>
            <w:r w:rsidRPr="00ED172B">
              <w:rPr>
                <w:rFonts w:cs="Arial"/>
                <w:b/>
                <w:color w:val="000000" w:themeColor="text1"/>
                <w:szCs w:val="16"/>
              </w:rPr>
              <w:t xml:space="preserve"> birth to 3</w:t>
            </w:r>
          </w:p>
        </w:tc>
        <w:tc>
          <w:tcPr>
            <w:tcW w:w="625" w:type="pct"/>
            <w:vAlign w:val="bottom"/>
          </w:tcPr>
          <w:p w14:paraId="1EC7691B" w14:textId="77777777"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584" w:type="pct"/>
            <w:vAlign w:val="bottom"/>
          </w:tcPr>
          <w:p w14:paraId="631804F4"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83" w:type="pct"/>
            <w:vAlign w:val="bottom"/>
          </w:tcPr>
          <w:p w14:paraId="2B82DDCF" w14:textId="77777777"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84" w:type="pct"/>
            <w:vAlign w:val="bottom"/>
          </w:tcPr>
          <w:p w14:paraId="56840785"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vAlign w:val="bottom"/>
          </w:tcPr>
          <w:p w14:paraId="2221516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37E5D095" w14:textId="77777777" w:rsidTr="00986B99">
        <w:trPr>
          <w:trHeight w:val="366"/>
        </w:trPr>
        <w:tc>
          <w:tcPr>
            <w:tcW w:w="1126" w:type="pct"/>
            <w:vAlign w:val="center"/>
          </w:tcPr>
          <w:p w14:paraId="26E7DBCC" w14:textId="77777777" w:rsidR="00897554" w:rsidRPr="00ED172B" w:rsidRDefault="00860830" w:rsidP="00897554">
            <w:pPr>
              <w:jc w:val="center"/>
              <w:rPr>
                <w:rFonts w:cs="Arial"/>
                <w:color w:val="000000" w:themeColor="text1"/>
                <w:szCs w:val="16"/>
              </w:rPr>
            </w:pPr>
            <w:r w:rsidRPr="00ED172B">
              <w:rPr>
                <w:color w:val="000000" w:themeColor="text1"/>
                <w:szCs w:val="16"/>
              </w:rPr>
              <w:t>9,892</w:t>
            </w:r>
          </w:p>
        </w:tc>
        <w:tc>
          <w:tcPr>
            <w:tcW w:w="959" w:type="pct"/>
            <w:vAlign w:val="center"/>
          </w:tcPr>
          <w:p w14:paraId="27E7E6DF" w14:textId="77777777" w:rsidR="00897554" w:rsidRPr="00ED172B" w:rsidRDefault="00860830" w:rsidP="00897554">
            <w:pPr>
              <w:jc w:val="center"/>
              <w:rPr>
                <w:rFonts w:cs="Arial"/>
                <w:color w:val="000000" w:themeColor="text1"/>
                <w:szCs w:val="16"/>
              </w:rPr>
            </w:pPr>
            <w:r w:rsidRPr="00ED172B">
              <w:rPr>
                <w:color w:val="000000" w:themeColor="text1"/>
                <w:szCs w:val="16"/>
              </w:rPr>
              <w:t>250,213</w:t>
            </w:r>
          </w:p>
        </w:tc>
        <w:tc>
          <w:tcPr>
            <w:tcW w:w="625" w:type="pct"/>
            <w:vAlign w:val="center"/>
          </w:tcPr>
          <w:p w14:paraId="0690B09D" w14:textId="77777777" w:rsidR="00897554" w:rsidRPr="00ED172B" w:rsidRDefault="00860830" w:rsidP="00897554">
            <w:pPr>
              <w:jc w:val="center"/>
              <w:rPr>
                <w:rFonts w:cs="Arial"/>
                <w:color w:val="000000" w:themeColor="text1"/>
                <w:szCs w:val="16"/>
              </w:rPr>
            </w:pPr>
            <w:r w:rsidRPr="00ED172B">
              <w:rPr>
                <w:rFonts w:cs="Arial"/>
                <w:color w:val="000000" w:themeColor="text1"/>
                <w:szCs w:val="16"/>
              </w:rPr>
              <w:t>3.86%</w:t>
            </w:r>
          </w:p>
        </w:tc>
        <w:tc>
          <w:tcPr>
            <w:tcW w:w="584" w:type="pct"/>
            <w:vAlign w:val="center"/>
          </w:tcPr>
          <w:p w14:paraId="77D421F7" w14:textId="77777777" w:rsidR="00897554" w:rsidRPr="00ED172B" w:rsidRDefault="00632DF6" w:rsidP="00632DF6">
            <w:pPr>
              <w:jc w:val="center"/>
              <w:rPr>
                <w:color w:val="000000" w:themeColor="text1"/>
              </w:rPr>
            </w:pPr>
            <w:r w:rsidRPr="00ED172B">
              <w:rPr>
                <w:color w:val="000000" w:themeColor="text1"/>
              </w:rPr>
              <w:t>3.49%</w:t>
            </w:r>
          </w:p>
        </w:tc>
        <w:tc>
          <w:tcPr>
            <w:tcW w:w="583" w:type="pct"/>
            <w:vAlign w:val="center"/>
          </w:tcPr>
          <w:p w14:paraId="20280402" w14:textId="77777777" w:rsidR="00897554" w:rsidRPr="00ED172B" w:rsidRDefault="00860830" w:rsidP="00897554">
            <w:pPr>
              <w:jc w:val="center"/>
              <w:rPr>
                <w:rFonts w:cs="Arial"/>
                <w:color w:val="000000" w:themeColor="text1"/>
                <w:szCs w:val="16"/>
              </w:rPr>
            </w:pPr>
            <w:r w:rsidRPr="00ED172B">
              <w:rPr>
                <w:rFonts w:cs="Arial"/>
                <w:color w:val="000000" w:themeColor="text1"/>
                <w:szCs w:val="16"/>
              </w:rPr>
              <w:t>3.95%</w:t>
            </w:r>
          </w:p>
        </w:tc>
        <w:tc>
          <w:tcPr>
            <w:tcW w:w="584" w:type="pct"/>
            <w:vAlign w:val="center"/>
          </w:tcPr>
          <w:p w14:paraId="3A2E7D32" w14:textId="77777777" w:rsidR="00897554" w:rsidRPr="00ED172B" w:rsidRDefault="00E3423F" w:rsidP="00027F39">
            <w:pPr>
              <w:jc w:val="center"/>
              <w:rPr>
                <w:color w:val="000000" w:themeColor="text1"/>
              </w:rPr>
            </w:pPr>
            <w:r w:rsidRPr="00ED172B">
              <w:rPr>
                <w:color w:val="000000" w:themeColor="text1"/>
              </w:rPr>
              <w:t>Met target</w:t>
            </w:r>
          </w:p>
        </w:tc>
        <w:tc>
          <w:tcPr>
            <w:tcW w:w="539" w:type="pct"/>
            <w:vAlign w:val="center"/>
          </w:tcPr>
          <w:p w14:paraId="2485B10C" w14:textId="77777777" w:rsidR="00897554" w:rsidRPr="00ED172B" w:rsidRDefault="00E3423F" w:rsidP="00027F39">
            <w:pPr>
              <w:jc w:val="center"/>
              <w:rPr>
                <w:color w:val="000000" w:themeColor="text1"/>
              </w:rPr>
            </w:pPr>
            <w:r w:rsidRPr="00ED172B">
              <w:rPr>
                <w:color w:val="000000" w:themeColor="text1"/>
              </w:rPr>
              <w:t>No Slippage</w:t>
            </w:r>
          </w:p>
        </w:tc>
      </w:tr>
    </w:tbl>
    <w:p w14:paraId="067FB8F4" w14:textId="77777777" w:rsidR="003643D6" w:rsidRPr="009B6E8C" w:rsidRDefault="003643D6" w:rsidP="009B6E8C">
      <w:pPr>
        <w:rPr>
          <w:b/>
          <w:bCs/>
        </w:rPr>
      </w:pPr>
      <w:r w:rsidRPr="009B6E8C">
        <w:rPr>
          <w:b/>
          <w:bCs/>
        </w:rPr>
        <w:t>Provide results of the root cause analysis of child find identification rates</w:t>
      </w:r>
    </w:p>
    <w:p w14:paraId="6CE70D6E" w14:textId="77777777" w:rsidR="003643D6" w:rsidRPr="009B6E8C" w:rsidRDefault="003643D6" w:rsidP="003A3693">
      <w:pPr>
        <w:rPr>
          <w:rFonts w:cs="Arial"/>
          <w:bCs/>
          <w:color w:val="000000" w:themeColor="text1"/>
          <w:szCs w:val="16"/>
        </w:rPr>
      </w:pPr>
      <w:r>
        <w:rPr>
          <w:rFonts w:cs="Arial"/>
          <w:bCs/>
          <w:color w:val="000000" w:themeColor="text1"/>
          <w:szCs w:val="16"/>
        </w:rPr>
        <w:t>The TEIS Results Monitoring system places a strong emphasis on Child Find, tracking both the number of referrals by geographic region and the outcomes of those referrals (e.g., eligibility determination, IFSP development, and retention after the initial IFSP). Data points are monitored at both the TEIS Point of Entry (POE) level and the county level to identify potential gaps in outreach.</w:t>
      </w:r>
    </w:p>
    <w:p w14:paraId="76FB15EA" w14:textId="77777777" w:rsidR="007876EE" w:rsidRDefault="007876EE"/>
    <w:p w14:paraId="1984B403" w14:textId="77777777" w:rsidR="007876EE" w:rsidRDefault="00000000">
      <w:r>
        <w:rPr>
          <w:color w:val="000000"/>
        </w:rPr>
        <w:t xml:space="preserve">Results Monitoring staff provide POEs with technical assistance and monthly Child Find data reports, which are used to </w:t>
      </w:r>
      <w:proofErr w:type="gramStart"/>
      <w:r>
        <w:rPr>
          <w:color w:val="000000"/>
        </w:rPr>
        <w:t>make adjustments</w:t>
      </w:r>
      <w:proofErr w:type="gramEnd"/>
      <w:r>
        <w:rPr>
          <w:color w:val="000000"/>
        </w:rPr>
        <w:t xml:space="preserve"> and evaluate the effectiveness of local outreach and POE practices. These efforts by POE staff at the local level are producing positive results, helping TEIS reach Tennessee’s youngest children more effectively.</w:t>
      </w:r>
    </w:p>
    <w:p w14:paraId="12FA9043" w14:textId="7777777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317D2485" w14:textId="77777777" w:rsidR="003A3693" w:rsidRPr="00ED172B" w:rsidRDefault="003A3693" w:rsidP="003A3693">
      <w:pPr>
        <w:rPr>
          <w:rFonts w:cs="Arial"/>
          <w:color w:val="000000" w:themeColor="text1"/>
          <w:szCs w:val="16"/>
        </w:rPr>
      </w:pPr>
    </w:p>
    <w:p w14:paraId="28EED56A" w14:textId="77777777" w:rsidR="00DC0682" w:rsidRPr="00A40EE1" w:rsidRDefault="000D0117" w:rsidP="005C3FFD">
      <w:pPr>
        <w:pStyle w:val="Heading2"/>
      </w:pPr>
      <w:r w:rsidRPr="00A40EE1">
        <w:t xml:space="preserve">6 - </w:t>
      </w:r>
      <w:r w:rsidR="00DC0682" w:rsidRPr="00A40EE1">
        <w:t>Prior FFY Required Actions</w:t>
      </w:r>
    </w:p>
    <w:p w14:paraId="6D7E07D7" w14:textId="77777777" w:rsidR="004C1CEE" w:rsidRPr="00ED172B" w:rsidRDefault="00632DF6" w:rsidP="00DC0682">
      <w:pPr>
        <w:rPr>
          <w:rFonts w:cs="Arial"/>
          <w:color w:val="000000" w:themeColor="text1"/>
          <w:szCs w:val="16"/>
        </w:rPr>
      </w:pPr>
      <w:r w:rsidRPr="00ED172B">
        <w:rPr>
          <w:color w:val="000000" w:themeColor="text1"/>
        </w:rPr>
        <w:t>None</w:t>
      </w:r>
    </w:p>
    <w:p w14:paraId="16FFB620" w14:textId="77777777" w:rsidR="00DC0682" w:rsidRPr="00A40EE1" w:rsidRDefault="000D0117" w:rsidP="005C3FFD">
      <w:pPr>
        <w:pStyle w:val="Heading2"/>
      </w:pPr>
      <w:r w:rsidRPr="00A40EE1">
        <w:lastRenderedPageBreak/>
        <w:t xml:space="preserve">6 - </w:t>
      </w:r>
      <w:r w:rsidR="00DC0682" w:rsidRPr="00A40EE1">
        <w:t>OSEP Response</w:t>
      </w:r>
    </w:p>
    <w:p w14:paraId="6AFA9634" w14:textId="77777777" w:rsidR="00DC0682" w:rsidRPr="00ED172B" w:rsidRDefault="00DC0682" w:rsidP="00632DF6">
      <w:pPr>
        <w:rPr>
          <w:color w:val="000000" w:themeColor="text1"/>
        </w:rPr>
      </w:pPr>
    </w:p>
    <w:p w14:paraId="2A614C04" w14:textId="77777777" w:rsidR="00DC0682" w:rsidRPr="00A40EE1" w:rsidRDefault="000D0117" w:rsidP="005C3FFD">
      <w:pPr>
        <w:pStyle w:val="Heading2"/>
      </w:pPr>
      <w:r w:rsidRPr="00A40EE1">
        <w:t xml:space="preserve">6 - </w:t>
      </w:r>
      <w:r w:rsidR="00DC0682" w:rsidRPr="00A40EE1">
        <w:t>Required Actions</w:t>
      </w:r>
    </w:p>
    <w:p w14:paraId="71AE0A7E" w14:textId="77777777" w:rsidR="00DC0682" w:rsidRPr="00ED172B" w:rsidRDefault="00DC0682" w:rsidP="00027F39">
      <w:pPr>
        <w:rPr>
          <w:rFonts w:eastAsiaTheme="majorEastAsia" w:cstheme="majorBidi"/>
          <w:b/>
          <w:bCs/>
          <w:color w:val="000000" w:themeColor="text1"/>
          <w:sz w:val="22"/>
          <w:szCs w:val="28"/>
        </w:rPr>
      </w:pPr>
      <w:r w:rsidRPr="00ED172B">
        <w:rPr>
          <w:color w:val="000000" w:themeColor="text1"/>
        </w:rPr>
        <w:br w:type="page"/>
      </w:r>
    </w:p>
    <w:p w14:paraId="3CD58A32"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29"/>
      <w:bookmarkEnd w:id="37"/>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2374E8" w14:textId="77777777" w:rsidR="000C5918" w:rsidRPr="00ED172B" w:rsidRDefault="000C5918" w:rsidP="00186420">
      <w:pPr>
        <w:rPr>
          <w:color w:val="000000" w:themeColor="text1"/>
          <w:szCs w:val="20"/>
        </w:rPr>
      </w:pPr>
      <w:bookmarkStart w:id="38" w:name="_Toc392159295"/>
      <w:r w:rsidRPr="00ED172B">
        <w:rPr>
          <w:b/>
          <w:color w:val="000000" w:themeColor="text1"/>
          <w:sz w:val="20"/>
          <w:szCs w:val="20"/>
        </w:rPr>
        <w:t>Instructions and Measurement</w:t>
      </w:r>
    </w:p>
    <w:p w14:paraId="5648D2D4"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2CCF418"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4BBD17D5" w14:textId="77777777" w:rsidR="001C3D0E" w:rsidRPr="00ED172B" w:rsidRDefault="001C3D0E">
      <w:pPr>
        <w:rPr>
          <w:b/>
          <w:color w:val="000000" w:themeColor="text1"/>
        </w:rPr>
      </w:pPr>
      <w:r w:rsidRPr="00ED172B">
        <w:rPr>
          <w:b/>
          <w:color w:val="000000" w:themeColor="text1"/>
        </w:rPr>
        <w:t>Data Source</w:t>
      </w:r>
    </w:p>
    <w:p w14:paraId="30481B6C" w14:textId="77777777"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5950DE4B" w14:textId="77777777" w:rsidR="001C3D0E" w:rsidRPr="00ED172B" w:rsidRDefault="001C3D0E">
      <w:pPr>
        <w:rPr>
          <w:b/>
          <w:color w:val="000000" w:themeColor="text1"/>
        </w:rPr>
      </w:pPr>
      <w:r w:rsidRPr="00ED172B">
        <w:rPr>
          <w:b/>
          <w:color w:val="000000" w:themeColor="text1"/>
        </w:rPr>
        <w:t>Measurement</w:t>
      </w:r>
    </w:p>
    <w:p w14:paraId="0E6CB7D8" w14:textId="77777777" w:rsidR="001C3D0E" w:rsidRPr="00ED172B" w:rsidRDefault="001C3D0E" w:rsidP="00B609A4">
      <w:pPr>
        <w:rPr>
          <w:color w:val="000000" w:themeColor="text1"/>
          <w:szCs w:val="16"/>
        </w:rPr>
      </w:pPr>
      <w:r w:rsidRPr="00ED172B">
        <w:rPr>
          <w:color w:val="000000" w:themeColor="text1"/>
          <w:szCs w:val="16"/>
        </w:rPr>
        <w:t xml:space="preserve">Percent = </w:t>
      </w:r>
      <w:proofErr w:type="gramStart"/>
      <w:r w:rsidRPr="00ED172B">
        <w:rPr>
          <w:color w:val="000000" w:themeColor="text1"/>
          <w:szCs w:val="16"/>
        </w:rPr>
        <w:t xml:space="preserve">[(# </w:t>
      </w:r>
      <w:proofErr w:type="gramEnd"/>
      <w:r w:rsidRPr="00ED172B">
        <w:rPr>
          <w:color w:val="000000" w:themeColor="text1"/>
          <w:szCs w:val="16"/>
        </w:rPr>
        <w:t xml:space="preserve">of eligible infants and toddlers with IFSPs for whom an initial evaluation and initial assessment and an initial IFSP meeting were conducted within Part C’s 45-day timeline) divided by </w:t>
      </w:r>
      <w:proofErr w:type="gramStart"/>
      <w:r w:rsidRPr="00ED172B">
        <w:rPr>
          <w:color w:val="000000" w:themeColor="text1"/>
          <w:szCs w:val="16"/>
        </w:rPr>
        <w:t xml:space="preserve">the (# </w:t>
      </w:r>
      <w:proofErr w:type="gramEnd"/>
      <w:r w:rsidRPr="00ED172B">
        <w:rPr>
          <w:color w:val="000000" w:themeColor="text1"/>
          <w:szCs w:val="16"/>
        </w:rPr>
        <w:t>of eligible infants and toddlers evaluated and assessed for whom an initial IFSP meeting was required to be conducted)] times 100.</w:t>
      </w:r>
    </w:p>
    <w:p w14:paraId="7BD58FB7" w14:textId="77777777"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4AF74CCD" w14:textId="77777777" w:rsidR="001C3D0E" w:rsidRPr="00ED172B" w:rsidRDefault="001C3D0E">
      <w:pPr>
        <w:rPr>
          <w:b/>
          <w:color w:val="000000" w:themeColor="text1"/>
        </w:rPr>
      </w:pPr>
      <w:r w:rsidRPr="00ED172B">
        <w:rPr>
          <w:b/>
          <w:color w:val="000000" w:themeColor="text1"/>
        </w:rPr>
        <w:t>Instructions</w:t>
      </w:r>
    </w:p>
    <w:p w14:paraId="0C4A2EEA" w14:textId="77777777" w:rsidR="001C3D0E" w:rsidRPr="0055373D" w:rsidRDefault="001C3D0E" w:rsidP="00B609A4">
      <w:pPr>
        <w:rPr>
          <w:i/>
          <w:iCs/>
          <w:color w:val="000000" w:themeColor="text1"/>
          <w:szCs w:val="16"/>
        </w:rPr>
      </w:pPr>
      <w:r w:rsidRPr="0055373D">
        <w:rPr>
          <w:i/>
          <w:iCs/>
          <w:color w:val="000000" w:themeColor="text1"/>
          <w:szCs w:val="16"/>
        </w:rPr>
        <w:t xml:space="preserve">If data </w:t>
      </w:r>
      <w:proofErr w:type="gramStart"/>
      <w:r w:rsidRPr="0055373D">
        <w:rPr>
          <w:i/>
          <w:iCs/>
          <w:color w:val="000000" w:themeColor="text1"/>
          <w:szCs w:val="16"/>
        </w:rPr>
        <w:t>are</w:t>
      </w:r>
      <w:proofErr w:type="gramEnd"/>
      <w:r w:rsidRPr="0055373D">
        <w:rPr>
          <w:i/>
          <w:iCs/>
          <w:color w:val="000000" w:themeColor="text1"/>
          <w:szCs w:val="16"/>
        </w:rPr>
        <w:t xml:space="preserve"> from State monitoring, describe the method used to select EIS programs for monitoring. If data are from a </w:t>
      </w:r>
      <w:proofErr w:type="gramStart"/>
      <w:r w:rsidRPr="0055373D">
        <w:rPr>
          <w:i/>
          <w:iCs/>
          <w:color w:val="000000" w:themeColor="text1"/>
          <w:szCs w:val="16"/>
        </w:rPr>
        <w:t>State</w:t>
      </w:r>
      <w:proofErr w:type="gramEnd"/>
      <w:r w:rsidRPr="0055373D">
        <w:rPr>
          <w:i/>
          <w:iCs/>
          <w:color w:val="000000" w:themeColor="text1"/>
          <w:szCs w:val="16"/>
        </w:rPr>
        <w:t xml:space="preserve"> database, describe the </w:t>
      </w:r>
      <w:proofErr w:type="gramStart"/>
      <w:r w:rsidRPr="0055373D">
        <w:rPr>
          <w:i/>
          <w:iCs/>
          <w:color w:val="000000" w:themeColor="text1"/>
          <w:szCs w:val="16"/>
        </w:rPr>
        <w:t>time period</w:t>
      </w:r>
      <w:proofErr w:type="gramEnd"/>
      <w:r w:rsidRPr="0055373D">
        <w:rPr>
          <w:i/>
          <w:iCs/>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14F683B4" w14:textId="77777777" w:rsidR="001C3D0E" w:rsidRPr="00ED172B" w:rsidRDefault="001C3D0E" w:rsidP="00B609A4">
      <w:pPr>
        <w:rPr>
          <w:color w:val="000000" w:themeColor="text1"/>
          <w:szCs w:val="16"/>
        </w:rPr>
      </w:pPr>
      <w:r w:rsidRPr="00ED172B">
        <w:rPr>
          <w:color w:val="000000" w:themeColor="text1"/>
          <w:szCs w:val="16"/>
        </w:rPr>
        <w:t>Targets must be 100%.</w:t>
      </w:r>
    </w:p>
    <w:p w14:paraId="502748D0" w14:textId="77777777" w:rsidR="001C3D0E" w:rsidRPr="00ED172B" w:rsidRDefault="001C3D0E" w:rsidP="00B609A4">
      <w:pPr>
        <w:rPr>
          <w:color w:val="000000" w:themeColor="text1"/>
          <w:szCs w:val="16"/>
        </w:rPr>
      </w:pPr>
      <w:r w:rsidRPr="00ED172B">
        <w:rPr>
          <w:color w:val="000000" w:themeColor="text1"/>
          <w:szCs w:val="16"/>
        </w:rPr>
        <w:t xml:space="preserve">Describe the results of the calculations and compare the results to the target. Describe the method used to collect </w:t>
      </w:r>
      <w:proofErr w:type="gramStart"/>
      <w:r w:rsidRPr="00ED172B">
        <w:rPr>
          <w:color w:val="000000" w:themeColor="text1"/>
          <w:szCs w:val="16"/>
        </w:rPr>
        <w:t>these</w:t>
      </w:r>
      <w:proofErr w:type="gramEnd"/>
      <w:r w:rsidRPr="00ED172B">
        <w:rPr>
          <w:color w:val="000000" w:themeColor="text1"/>
          <w:szCs w:val="16"/>
        </w:rPr>
        <w:t xml:space="preserve"> data and if data are from the State’s monitoring, describe the procedures used to collect these data. Provide actual numbers used in the calculation.</w:t>
      </w:r>
    </w:p>
    <w:p w14:paraId="0E2124CA" w14:textId="77777777" w:rsidR="001C3D0E" w:rsidRPr="00ED172B" w:rsidRDefault="001C3D0E" w:rsidP="00B609A4">
      <w:pPr>
        <w:rPr>
          <w:color w:val="000000" w:themeColor="text1"/>
          <w:szCs w:val="16"/>
        </w:rPr>
      </w:pPr>
      <w:r w:rsidRPr="00ED172B">
        <w:rPr>
          <w:color w:val="000000" w:themeColor="text1"/>
          <w:szCs w:val="16"/>
        </w:rPr>
        <w:t xml:space="preserve">States are not required to report in their calculation the number of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288D08F7" w14:textId="77777777" w:rsidR="001C3D0E" w:rsidRPr="00ED172B" w:rsidRDefault="001C3D0E" w:rsidP="00B609A4">
      <w:pPr>
        <w:rPr>
          <w:color w:val="000000" w:themeColor="text1"/>
          <w:szCs w:val="16"/>
        </w:rPr>
      </w:pPr>
      <w:r w:rsidRPr="00ED172B">
        <w:rPr>
          <w:color w:val="000000" w:themeColor="text1"/>
          <w:szCs w:val="16"/>
        </w:rPr>
        <w:t>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459DAC52" w14:textId="77777777" w:rsidR="001C3D0E"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4CE88F4B" w14:textId="77777777" w:rsidR="00C04685" w:rsidRPr="00D3011A" w:rsidRDefault="00C538B3" w:rsidP="00C04685">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10CE115B" w14:textId="77777777" w:rsidR="00C04685" w:rsidRPr="00ED172B" w:rsidRDefault="00C04685" w:rsidP="00B609A4">
      <w:pPr>
        <w:rPr>
          <w:color w:val="000000" w:themeColor="text1"/>
          <w:szCs w:val="16"/>
        </w:rPr>
      </w:pPr>
    </w:p>
    <w:bookmarkEnd w:id="38"/>
    <w:p w14:paraId="4C7C931E" w14:textId="77777777" w:rsidR="00805DD3" w:rsidRPr="00A40EE1" w:rsidRDefault="000D0117" w:rsidP="005C3FFD">
      <w:pPr>
        <w:pStyle w:val="Heading2"/>
      </w:pPr>
      <w:r w:rsidRPr="00A40EE1">
        <w:t xml:space="preserve">7 - </w:t>
      </w:r>
      <w:r w:rsidR="00B609A4" w:rsidRPr="00A40EE1">
        <w:t>Indicator Data</w:t>
      </w:r>
    </w:p>
    <w:p w14:paraId="6224D58A" w14:textId="77777777" w:rsidR="00DC0682" w:rsidRDefault="00DC0682">
      <w:pPr>
        <w:rPr>
          <w:b/>
          <w:color w:val="000000" w:themeColor="text1"/>
        </w:rPr>
      </w:pPr>
      <w:bookmarkStart w:id="39" w:name="_Toc382082375"/>
      <w:bookmarkStart w:id="40" w:name="_Toc392159298"/>
      <w:r w:rsidRPr="00ED172B">
        <w:rPr>
          <w:b/>
          <w:color w:val="000000" w:themeColor="text1"/>
        </w:rPr>
        <w:t>Historical Data</w:t>
      </w:r>
    </w:p>
    <w:p w14:paraId="3A2101B3" w14:textId="77777777"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2899"/>
        <w:gridCol w:w="875"/>
      </w:tblGrid>
      <w:tr w:rsidR="00C25621" w:rsidRPr="00ED172B" w14:paraId="206EB361" w14:textId="77777777" w:rsidTr="00A40EE1">
        <w:trPr>
          <w:trHeight w:val="350"/>
          <w:tblHeader/>
        </w:trPr>
        <w:tc>
          <w:tcPr>
            <w:tcW w:w="4285" w:type="pct"/>
            <w:tcBorders>
              <w:bottom w:val="single" w:sz="4" w:space="0" w:color="auto"/>
            </w:tcBorders>
            <w:vAlign w:val="center"/>
          </w:tcPr>
          <w:p w14:paraId="1F4AFF74" w14:textId="77777777" w:rsidR="00C25621" w:rsidRPr="00A40EE1" w:rsidRDefault="00C25621" w:rsidP="00C15786">
            <w:pPr>
              <w:jc w:val="center"/>
              <w:rPr>
                <w:b/>
                <w:bCs/>
                <w:color w:val="000000" w:themeColor="text1"/>
              </w:rPr>
            </w:pPr>
            <w:r>
              <w:rPr>
                <w:b/>
                <w:bCs/>
                <w:color w:val="000000" w:themeColor="text1"/>
              </w:rPr>
              <w:t>Baseline Year</w:t>
            </w:r>
          </w:p>
        </w:tc>
        <w:tc>
          <w:tcPr>
            <w:tcW w:w="715" w:type="pct"/>
            <w:vAlign w:val="center"/>
          </w:tcPr>
          <w:p w14:paraId="1B36CD4D" w14:textId="77777777"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3470CB89" w14:textId="77777777" w:rsidTr="00A40EE1">
        <w:trPr>
          <w:trHeight w:val="350"/>
        </w:trPr>
        <w:tc>
          <w:tcPr>
            <w:tcW w:w="4285" w:type="pct"/>
            <w:tcBorders>
              <w:bottom w:val="single" w:sz="4" w:space="0" w:color="auto"/>
            </w:tcBorders>
            <w:vAlign w:val="center"/>
          </w:tcPr>
          <w:p w14:paraId="51E450C0" w14:textId="77777777" w:rsidR="00C25621" w:rsidRPr="00ED172B" w:rsidRDefault="00C25621" w:rsidP="00C15786">
            <w:pPr>
              <w:jc w:val="center"/>
              <w:rPr>
                <w:b/>
                <w:color w:val="000000" w:themeColor="text1"/>
              </w:rPr>
            </w:pPr>
            <w:r w:rsidRPr="00ED172B">
              <w:rPr>
                <w:color w:val="000000" w:themeColor="text1"/>
              </w:rPr>
              <w:t>2023</w:t>
            </w:r>
          </w:p>
        </w:tc>
        <w:tc>
          <w:tcPr>
            <w:tcW w:w="715" w:type="pct"/>
            <w:vAlign w:val="center"/>
          </w:tcPr>
          <w:p w14:paraId="3EFABEA6" w14:textId="77777777" w:rsidR="00C25621" w:rsidRPr="00ED172B" w:rsidRDefault="00C25621" w:rsidP="00C15786">
            <w:pPr>
              <w:jc w:val="center"/>
              <w:rPr>
                <w:color w:val="000000" w:themeColor="text1"/>
              </w:rPr>
            </w:pPr>
            <w:r w:rsidRPr="00ED172B">
              <w:rPr>
                <w:color w:val="000000" w:themeColor="text1"/>
              </w:rPr>
              <w:t>98.97%</w:t>
            </w:r>
          </w:p>
        </w:tc>
      </w:tr>
    </w:tbl>
    <w:p w14:paraId="663D0974"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705"/>
        <w:gridCol w:w="2018"/>
        <w:gridCol w:w="2018"/>
        <w:gridCol w:w="2018"/>
        <w:gridCol w:w="2018"/>
        <w:gridCol w:w="2013"/>
      </w:tblGrid>
      <w:tr w:rsidR="00ED172B" w:rsidRPr="00ED172B" w14:paraId="08894167" w14:textId="77777777" w:rsidTr="00A40EE1">
        <w:trPr>
          <w:trHeight w:val="350"/>
        </w:trPr>
        <w:tc>
          <w:tcPr>
            <w:tcW w:w="327" w:type="pct"/>
            <w:tcBorders>
              <w:bottom w:val="single" w:sz="4" w:space="0" w:color="auto"/>
            </w:tcBorders>
          </w:tcPr>
          <w:p w14:paraId="4EA09A4E"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vAlign w:val="center"/>
          </w:tcPr>
          <w:p w14:paraId="024C8326"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vAlign w:val="center"/>
          </w:tcPr>
          <w:p w14:paraId="4C4FEFFE"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vAlign w:val="center"/>
          </w:tcPr>
          <w:p w14:paraId="31B6BD0B"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5" w:type="pct"/>
            <w:vAlign w:val="center"/>
          </w:tcPr>
          <w:p w14:paraId="4A7F0A57"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5" w:type="pct"/>
            <w:vAlign w:val="center"/>
          </w:tcPr>
          <w:p w14:paraId="06BC800E"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13B43FAE" w14:textId="77777777" w:rsidTr="00A40EE1">
        <w:trPr>
          <w:trHeight w:val="357"/>
        </w:trPr>
        <w:tc>
          <w:tcPr>
            <w:tcW w:w="327" w:type="pct"/>
          </w:tcPr>
          <w:p w14:paraId="149EB542"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tcPr>
          <w:p w14:paraId="279C583B"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33F18C34"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549C6647"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0F0CA543" w14:textId="7777777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732CAB4B" w14:textId="77777777"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28549D86" w14:textId="77777777" w:rsidTr="00A40EE1">
        <w:trPr>
          <w:trHeight w:val="85"/>
        </w:trPr>
        <w:tc>
          <w:tcPr>
            <w:tcW w:w="327" w:type="pct"/>
          </w:tcPr>
          <w:p w14:paraId="04FBAB30"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vAlign w:val="center"/>
          </w:tcPr>
          <w:p w14:paraId="45E31406" w14:textId="77777777" w:rsidR="00DC0682" w:rsidRPr="00ED172B" w:rsidRDefault="00860830" w:rsidP="00CD79C5">
            <w:pPr>
              <w:jc w:val="center"/>
              <w:rPr>
                <w:color w:val="000000" w:themeColor="text1"/>
                <w:szCs w:val="16"/>
              </w:rPr>
            </w:pPr>
            <w:r w:rsidRPr="00ED172B">
              <w:rPr>
                <w:rFonts w:cs="Arial"/>
                <w:color w:val="000000" w:themeColor="text1"/>
                <w:szCs w:val="16"/>
              </w:rPr>
              <w:t>99.16%</w:t>
            </w:r>
          </w:p>
        </w:tc>
        <w:tc>
          <w:tcPr>
            <w:tcW w:w="935" w:type="pct"/>
            <w:tcBorders>
              <w:bottom w:val="single" w:sz="4" w:space="0" w:color="auto"/>
            </w:tcBorders>
            <w:vAlign w:val="center"/>
          </w:tcPr>
          <w:p w14:paraId="3383FDE0" w14:textId="77777777" w:rsidR="00DC0682" w:rsidRPr="00ED172B" w:rsidRDefault="00860830" w:rsidP="00CD79C5">
            <w:pPr>
              <w:jc w:val="center"/>
              <w:rPr>
                <w:color w:val="000000" w:themeColor="text1"/>
                <w:szCs w:val="16"/>
              </w:rPr>
            </w:pPr>
            <w:r w:rsidRPr="00ED172B">
              <w:rPr>
                <w:rFonts w:cs="Arial"/>
                <w:color w:val="000000" w:themeColor="text1"/>
                <w:szCs w:val="16"/>
              </w:rPr>
              <w:t>99.10%</w:t>
            </w:r>
          </w:p>
        </w:tc>
        <w:tc>
          <w:tcPr>
            <w:tcW w:w="935" w:type="pct"/>
            <w:tcBorders>
              <w:bottom w:val="single" w:sz="4" w:space="0" w:color="auto"/>
            </w:tcBorders>
            <w:vAlign w:val="center"/>
          </w:tcPr>
          <w:p w14:paraId="69AF5017" w14:textId="77777777" w:rsidR="00DC0682" w:rsidRPr="00ED172B" w:rsidRDefault="00860830" w:rsidP="00CD79C5">
            <w:pPr>
              <w:jc w:val="center"/>
              <w:rPr>
                <w:color w:val="000000" w:themeColor="text1"/>
                <w:szCs w:val="16"/>
              </w:rPr>
            </w:pPr>
            <w:r w:rsidRPr="00ED172B">
              <w:rPr>
                <w:rFonts w:cs="Arial"/>
                <w:color w:val="000000" w:themeColor="text1"/>
                <w:szCs w:val="16"/>
              </w:rPr>
              <w:t>99.72%</w:t>
            </w:r>
          </w:p>
        </w:tc>
        <w:tc>
          <w:tcPr>
            <w:tcW w:w="935" w:type="pct"/>
            <w:tcBorders>
              <w:bottom w:val="single" w:sz="4" w:space="0" w:color="auto"/>
            </w:tcBorders>
            <w:vAlign w:val="center"/>
          </w:tcPr>
          <w:p w14:paraId="05A07AC5" w14:textId="77777777" w:rsidR="00DC0682" w:rsidRPr="00ED172B" w:rsidRDefault="00860830" w:rsidP="00CD79C5">
            <w:pPr>
              <w:jc w:val="center"/>
              <w:rPr>
                <w:color w:val="000000" w:themeColor="text1"/>
                <w:szCs w:val="16"/>
              </w:rPr>
            </w:pPr>
            <w:r w:rsidRPr="00ED172B">
              <w:rPr>
                <w:rFonts w:cs="Arial"/>
                <w:color w:val="000000" w:themeColor="text1"/>
                <w:szCs w:val="16"/>
              </w:rPr>
              <w:t>99.00%</w:t>
            </w:r>
          </w:p>
        </w:tc>
        <w:tc>
          <w:tcPr>
            <w:tcW w:w="935" w:type="pct"/>
            <w:tcBorders>
              <w:bottom w:val="single" w:sz="4" w:space="0" w:color="auto"/>
            </w:tcBorders>
            <w:vAlign w:val="center"/>
          </w:tcPr>
          <w:p w14:paraId="78928711" w14:textId="77777777" w:rsidR="00DC0682" w:rsidRPr="00ED172B" w:rsidRDefault="00860830" w:rsidP="00CD79C5">
            <w:pPr>
              <w:jc w:val="center"/>
              <w:rPr>
                <w:color w:val="000000" w:themeColor="text1"/>
                <w:szCs w:val="16"/>
              </w:rPr>
            </w:pPr>
            <w:r w:rsidRPr="00ED172B">
              <w:rPr>
                <w:rFonts w:cs="Arial"/>
                <w:color w:val="000000" w:themeColor="text1"/>
                <w:szCs w:val="16"/>
              </w:rPr>
              <w:t>98.97%</w:t>
            </w:r>
          </w:p>
        </w:tc>
      </w:tr>
    </w:tbl>
    <w:p w14:paraId="512BEB61" w14:textId="77777777" w:rsidR="00DC0682" w:rsidRPr="00ED172B" w:rsidRDefault="00DC0682">
      <w:pPr>
        <w:rPr>
          <w:b/>
          <w:color w:val="000000" w:themeColor="text1"/>
        </w:rPr>
      </w:pPr>
      <w:r w:rsidRPr="00ED172B">
        <w:rPr>
          <w:b/>
          <w:color w:val="000000" w:themeColor="text1"/>
        </w:rPr>
        <w:t>Targets</w:t>
      </w:r>
    </w:p>
    <w:tbl>
      <w:tblPr>
        <w:tblW w:w="2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2475"/>
        <w:gridCol w:w="2653"/>
      </w:tblGrid>
      <w:tr w:rsidR="00CF59E2" w:rsidRPr="00ED172B" w14:paraId="0F279B82" w14:textId="77777777" w:rsidTr="00811738">
        <w:trPr>
          <w:trHeight w:val="290"/>
        </w:trPr>
        <w:tc>
          <w:tcPr>
            <w:tcW w:w="585" w:type="pct"/>
            <w:tcBorders>
              <w:bottom w:val="single" w:sz="4" w:space="0" w:color="auto"/>
            </w:tcBorders>
          </w:tcPr>
          <w:p w14:paraId="1CF1CFF1"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131" w:type="pct"/>
            <w:vAlign w:val="center"/>
          </w:tcPr>
          <w:p w14:paraId="03C31304" w14:textId="7777777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2284" w:type="pct"/>
          </w:tcPr>
          <w:p w14:paraId="6DBD3859" w14:textId="77777777"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54498C06" w14:textId="77777777" w:rsidTr="00811738">
        <w:trPr>
          <w:trHeight w:val="296"/>
        </w:trPr>
        <w:tc>
          <w:tcPr>
            <w:tcW w:w="585" w:type="pct"/>
          </w:tcPr>
          <w:p w14:paraId="7D85705D"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31" w:type="pct"/>
          </w:tcPr>
          <w:p w14:paraId="03348B16" w14:textId="77777777" w:rsidR="00CF59E2" w:rsidRPr="00ED172B" w:rsidRDefault="00CF59E2" w:rsidP="006B2FE9">
            <w:pPr>
              <w:jc w:val="center"/>
              <w:rPr>
                <w:color w:val="000000" w:themeColor="text1"/>
              </w:rPr>
            </w:pPr>
            <w:r w:rsidRPr="00ED172B">
              <w:rPr>
                <w:color w:val="000000" w:themeColor="text1"/>
              </w:rPr>
              <w:t>100%</w:t>
            </w:r>
          </w:p>
        </w:tc>
        <w:tc>
          <w:tcPr>
            <w:tcW w:w="2284" w:type="pct"/>
          </w:tcPr>
          <w:p w14:paraId="11C882AB" w14:textId="77777777" w:rsidR="00CF59E2" w:rsidRPr="00811738" w:rsidRDefault="00CF59E2" w:rsidP="006B2FE9">
            <w:pPr>
              <w:jc w:val="center"/>
              <w:rPr>
                <w:strike/>
                <w:color w:val="000000" w:themeColor="text1"/>
              </w:rPr>
            </w:pPr>
            <w:r>
              <w:rPr>
                <w:rFonts w:cs="Arial"/>
                <w:color w:val="000000" w:themeColor="text1"/>
                <w:szCs w:val="16"/>
              </w:rPr>
              <w:t>100%</w:t>
            </w:r>
          </w:p>
        </w:tc>
      </w:tr>
    </w:tbl>
    <w:p w14:paraId="248DB1FA" w14:textId="77777777" w:rsidR="001C3D0E"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60D1C72" w14:textId="77777777" w:rsidTr="00986B99">
        <w:trPr>
          <w:trHeight w:val="354"/>
          <w:tblHeader/>
        </w:trPr>
        <w:tc>
          <w:tcPr>
            <w:tcW w:w="1165" w:type="pct"/>
            <w:vAlign w:val="bottom"/>
          </w:tcPr>
          <w:p w14:paraId="6AF17798"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vAlign w:val="bottom"/>
          </w:tcPr>
          <w:p w14:paraId="4C85EFC3"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vAlign w:val="bottom"/>
          </w:tcPr>
          <w:p w14:paraId="494BFB42" w14:textId="77777777" w:rsidR="008872E7" w:rsidRPr="00ED172B" w:rsidRDefault="00CD74B5" w:rsidP="008872E7">
            <w:pPr>
              <w:jc w:val="center"/>
              <w:rPr>
                <w:b/>
                <w:color w:val="000000" w:themeColor="text1"/>
                <w:szCs w:val="16"/>
              </w:rPr>
            </w:pPr>
            <w:r>
              <w:rPr>
                <w:rFonts w:cs="Arial"/>
                <w:b/>
                <w:color w:val="000000" w:themeColor="text1"/>
                <w:szCs w:val="16"/>
              </w:rPr>
              <w:t>FFY 2023 Data</w:t>
            </w:r>
          </w:p>
        </w:tc>
        <w:tc>
          <w:tcPr>
            <w:tcW w:w="626" w:type="pct"/>
            <w:vAlign w:val="bottom"/>
          </w:tcPr>
          <w:p w14:paraId="02F2F0A4" w14:textId="77777777" w:rsidR="008872E7" w:rsidRPr="00ED172B" w:rsidRDefault="00F22D09" w:rsidP="008872E7">
            <w:pPr>
              <w:jc w:val="center"/>
              <w:rPr>
                <w:b/>
                <w:color w:val="000000" w:themeColor="text1"/>
                <w:szCs w:val="16"/>
              </w:rPr>
            </w:pPr>
            <w:r>
              <w:rPr>
                <w:rFonts w:cs="Arial"/>
                <w:b/>
                <w:color w:val="000000" w:themeColor="text1"/>
                <w:szCs w:val="16"/>
              </w:rPr>
              <w:t>FFY 2024 Target</w:t>
            </w:r>
          </w:p>
        </w:tc>
        <w:tc>
          <w:tcPr>
            <w:tcW w:w="584" w:type="pct"/>
            <w:vAlign w:val="bottom"/>
          </w:tcPr>
          <w:p w14:paraId="3D067901" w14:textId="77777777" w:rsidR="008872E7" w:rsidRPr="00ED172B" w:rsidRDefault="00F22D09" w:rsidP="008872E7">
            <w:pPr>
              <w:jc w:val="center"/>
              <w:rPr>
                <w:b/>
                <w:color w:val="000000" w:themeColor="text1"/>
                <w:szCs w:val="16"/>
              </w:rPr>
            </w:pPr>
            <w:r>
              <w:rPr>
                <w:rFonts w:cs="Arial"/>
                <w:b/>
                <w:color w:val="000000" w:themeColor="text1"/>
                <w:szCs w:val="16"/>
              </w:rPr>
              <w:t>FFY 2024 Data</w:t>
            </w:r>
          </w:p>
        </w:tc>
        <w:tc>
          <w:tcPr>
            <w:tcW w:w="584" w:type="pct"/>
            <w:vAlign w:val="bottom"/>
          </w:tcPr>
          <w:p w14:paraId="3C5CE266" w14:textId="77777777"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vAlign w:val="bottom"/>
          </w:tcPr>
          <w:p w14:paraId="52663507" w14:textId="77777777"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2FA50A85" w14:textId="77777777" w:rsidTr="00986B99">
        <w:trPr>
          <w:trHeight w:val="287"/>
        </w:trPr>
        <w:tc>
          <w:tcPr>
            <w:tcW w:w="1165" w:type="pct"/>
            <w:vAlign w:val="center"/>
          </w:tcPr>
          <w:p w14:paraId="3008FF28" w14:textId="77777777" w:rsidR="008872E7" w:rsidRPr="00ED172B" w:rsidRDefault="00860830" w:rsidP="008872E7">
            <w:pPr>
              <w:jc w:val="center"/>
              <w:rPr>
                <w:color w:val="000000" w:themeColor="text1"/>
                <w:szCs w:val="16"/>
              </w:rPr>
            </w:pPr>
            <w:r w:rsidRPr="00ED172B">
              <w:rPr>
                <w:color w:val="000000" w:themeColor="text1"/>
                <w:szCs w:val="16"/>
              </w:rPr>
              <w:t>790</w:t>
            </w:r>
          </w:p>
        </w:tc>
        <w:tc>
          <w:tcPr>
            <w:tcW w:w="876" w:type="pct"/>
            <w:vAlign w:val="center"/>
          </w:tcPr>
          <w:p w14:paraId="64316EC8" w14:textId="77777777" w:rsidR="008872E7" w:rsidRPr="00ED172B" w:rsidRDefault="00860830" w:rsidP="008872E7">
            <w:pPr>
              <w:jc w:val="center"/>
              <w:rPr>
                <w:color w:val="000000" w:themeColor="text1"/>
                <w:szCs w:val="16"/>
              </w:rPr>
            </w:pPr>
            <w:r w:rsidRPr="00ED172B">
              <w:rPr>
                <w:color w:val="000000" w:themeColor="text1"/>
                <w:szCs w:val="16"/>
              </w:rPr>
              <w:t>868</w:t>
            </w:r>
          </w:p>
        </w:tc>
        <w:tc>
          <w:tcPr>
            <w:tcW w:w="667" w:type="pct"/>
          </w:tcPr>
          <w:p w14:paraId="5773D2E9" w14:textId="77777777" w:rsidR="008872E7" w:rsidRPr="00ED172B" w:rsidRDefault="00860830" w:rsidP="008872E7">
            <w:pPr>
              <w:jc w:val="center"/>
              <w:rPr>
                <w:color w:val="000000" w:themeColor="text1"/>
                <w:szCs w:val="16"/>
              </w:rPr>
            </w:pPr>
            <w:r w:rsidRPr="00ED172B">
              <w:rPr>
                <w:rFonts w:cs="Arial"/>
                <w:color w:val="000000" w:themeColor="text1"/>
                <w:szCs w:val="16"/>
              </w:rPr>
              <w:t>98.97%</w:t>
            </w:r>
          </w:p>
        </w:tc>
        <w:tc>
          <w:tcPr>
            <w:tcW w:w="626" w:type="pct"/>
          </w:tcPr>
          <w:p w14:paraId="116F0FD6" w14:textId="77777777"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tcPr>
          <w:p w14:paraId="6CBF3A63" w14:textId="77777777" w:rsidR="008872E7" w:rsidRPr="00ED172B" w:rsidRDefault="00860830" w:rsidP="008872E7">
            <w:pPr>
              <w:jc w:val="center"/>
              <w:rPr>
                <w:color w:val="000000" w:themeColor="text1"/>
                <w:szCs w:val="16"/>
              </w:rPr>
            </w:pPr>
            <w:r w:rsidRPr="00ED172B">
              <w:rPr>
                <w:rFonts w:cs="Arial"/>
                <w:color w:val="000000" w:themeColor="text1"/>
                <w:szCs w:val="16"/>
              </w:rPr>
              <w:t>98.96%</w:t>
            </w:r>
          </w:p>
        </w:tc>
        <w:tc>
          <w:tcPr>
            <w:tcW w:w="584" w:type="pct"/>
          </w:tcPr>
          <w:p w14:paraId="7F2FEA43" w14:textId="77777777" w:rsidR="008872E7" w:rsidRPr="00ED172B" w:rsidRDefault="00027F39" w:rsidP="00027F39">
            <w:pPr>
              <w:jc w:val="center"/>
              <w:rPr>
                <w:color w:val="000000" w:themeColor="text1"/>
              </w:rPr>
            </w:pPr>
            <w:r w:rsidRPr="00ED172B">
              <w:rPr>
                <w:color w:val="000000" w:themeColor="text1"/>
              </w:rPr>
              <w:t>Did not meet target</w:t>
            </w:r>
          </w:p>
        </w:tc>
        <w:tc>
          <w:tcPr>
            <w:tcW w:w="498" w:type="pct"/>
          </w:tcPr>
          <w:p w14:paraId="6C3B07BF" w14:textId="77777777" w:rsidR="008872E7" w:rsidRPr="00ED172B" w:rsidRDefault="00632DF6" w:rsidP="00027F39">
            <w:pPr>
              <w:jc w:val="center"/>
              <w:rPr>
                <w:color w:val="000000" w:themeColor="text1"/>
              </w:rPr>
            </w:pPr>
            <w:r w:rsidRPr="00ED172B">
              <w:rPr>
                <w:color w:val="000000" w:themeColor="text1"/>
              </w:rPr>
              <w:t>No Slippage</w:t>
            </w:r>
          </w:p>
        </w:tc>
      </w:tr>
    </w:tbl>
    <w:p w14:paraId="69916BF4" w14:textId="77777777" w:rsidR="00293B59" w:rsidRPr="00ED172B" w:rsidRDefault="00293B59" w:rsidP="00293B59">
      <w:pPr>
        <w:rPr>
          <w:color w:val="000000" w:themeColor="text1"/>
          <w:szCs w:val="16"/>
        </w:rPr>
      </w:pPr>
      <w:r w:rsidRPr="00ED172B">
        <w:rPr>
          <w:b/>
          <w:color w:val="000000" w:themeColor="text1"/>
          <w:szCs w:val="16"/>
        </w:rPr>
        <w:lastRenderedPageBreak/>
        <w:t>Number of documented delays attributable to exceptional family circumstances</w:t>
      </w:r>
    </w:p>
    <w:p w14:paraId="0AE74F1A" w14:textId="77777777"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66D25BA7" w14:textId="77777777" w:rsidR="00293B59" w:rsidRDefault="00293B59" w:rsidP="00293B59">
      <w:pPr>
        <w:rPr>
          <w:color w:val="000000" w:themeColor="text1"/>
          <w:szCs w:val="16"/>
        </w:rPr>
      </w:pPr>
      <w:r w:rsidRPr="00ED172B">
        <w:rPr>
          <w:color w:val="000000" w:themeColor="text1"/>
          <w:szCs w:val="16"/>
        </w:rPr>
        <w:t>69</w:t>
      </w:r>
    </w:p>
    <w:p w14:paraId="2F131340"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09D64237" w14:textId="77777777" w:rsidR="003739C5" w:rsidRPr="00ED172B" w:rsidRDefault="003739C5" w:rsidP="003739C5">
      <w:pPr>
        <w:rPr>
          <w:rFonts w:cs="Arial"/>
          <w:color w:val="000000" w:themeColor="text1"/>
          <w:szCs w:val="16"/>
        </w:rPr>
      </w:pPr>
      <w:r w:rsidRPr="00ED172B">
        <w:rPr>
          <w:color w:val="000000" w:themeColor="text1"/>
          <w:szCs w:val="16"/>
        </w:rPr>
        <w:t>During FFY 2024-25 compliance monitoring, delays in timely initial evaluation and initial IFSP meeting were categorized into two primary groups: Exceptional Family Circumstances and System Issues. Examples of documented reasons are outlined below.</w:t>
      </w:r>
    </w:p>
    <w:p w14:paraId="7BB6E1CA" w14:textId="77777777" w:rsidR="007876EE" w:rsidRDefault="007876EE"/>
    <w:p w14:paraId="3200E9DC" w14:textId="77777777" w:rsidR="007876EE" w:rsidRDefault="00000000">
      <w:r>
        <w:rPr>
          <w:color w:val="000000"/>
        </w:rPr>
        <w:t>Exceptional Family Circumstances</w:t>
      </w:r>
    </w:p>
    <w:p w14:paraId="681870EA" w14:textId="77777777" w:rsidR="007876EE" w:rsidRDefault="00000000">
      <w:r>
        <w:rPr>
          <w:color w:val="000000"/>
        </w:rPr>
        <w:t>-Child or family illness</w:t>
      </w:r>
    </w:p>
    <w:p w14:paraId="0CB0B29A" w14:textId="77777777" w:rsidR="007876EE" w:rsidRDefault="00000000">
      <w:r>
        <w:rPr>
          <w:color w:val="000000"/>
        </w:rPr>
        <w:t>-Family vacation or holiday</w:t>
      </w:r>
    </w:p>
    <w:p w14:paraId="71C07F81" w14:textId="77777777" w:rsidR="007876EE" w:rsidRDefault="00000000">
      <w:r>
        <w:rPr>
          <w:color w:val="000000"/>
        </w:rPr>
        <w:t>-Family’s preferred schedule</w:t>
      </w:r>
    </w:p>
    <w:p w14:paraId="00E87599" w14:textId="77777777" w:rsidR="007876EE" w:rsidRDefault="00000000">
      <w:r>
        <w:rPr>
          <w:color w:val="000000"/>
        </w:rPr>
        <w:t>-Missed appointments or cancellations of scheduled services</w:t>
      </w:r>
    </w:p>
    <w:p w14:paraId="70F41A43" w14:textId="77777777" w:rsidR="007876EE" w:rsidRDefault="00000000">
      <w:r>
        <w:rPr>
          <w:color w:val="000000"/>
        </w:rPr>
        <w:t>-Weather-related events (e.g., snow, ice, tornado, flood)</w:t>
      </w:r>
    </w:p>
    <w:p w14:paraId="5FA07892" w14:textId="77777777" w:rsidR="007876EE" w:rsidRDefault="00000000">
      <w:r>
        <w:rPr>
          <w:color w:val="000000"/>
        </w:rPr>
        <w:t>-State or local disaster recovery</w:t>
      </w:r>
    </w:p>
    <w:p w14:paraId="2A3E6490" w14:textId="77777777" w:rsidR="007876EE" w:rsidRDefault="007876EE"/>
    <w:p w14:paraId="36A4B4E4" w14:textId="77777777" w:rsidR="007876EE" w:rsidRDefault="00000000">
      <w:r>
        <w:rPr>
          <w:color w:val="000000"/>
        </w:rPr>
        <w:t>System Issues</w:t>
      </w:r>
    </w:p>
    <w:p w14:paraId="67BC5ABA" w14:textId="77777777" w:rsidR="007876EE" w:rsidRDefault="00000000">
      <w:r>
        <w:rPr>
          <w:color w:val="000000"/>
        </w:rPr>
        <w:t>-Delays attributable to referral processing, evaluation agency, or Service Coordinator</w:t>
      </w:r>
    </w:p>
    <w:p w14:paraId="3FF191D9" w14:textId="77777777" w:rsidR="007876EE" w:rsidRDefault="00000000">
      <w:r>
        <w:rPr>
          <w:color w:val="000000"/>
        </w:rPr>
        <w:t>-Incomplete documentation of delay reasons</w:t>
      </w:r>
    </w:p>
    <w:p w14:paraId="31750A79" w14:textId="77777777" w:rsidR="007876EE" w:rsidRDefault="00000000">
      <w:r>
        <w:rPr>
          <w:color w:val="000000"/>
        </w:rPr>
        <w:t xml:space="preserve">-Delay in obtaining medical records for eligibility </w:t>
      </w:r>
    </w:p>
    <w:p w14:paraId="721F9939" w14:textId="77777777" w:rsidR="007876EE" w:rsidRDefault="00000000">
      <w:r>
        <w:rPr>
          <w:color w:val="000000"/>
        </w:rPr>
        <w:t>-Delay in obtaining language interpretation services</w:t>
      </w:r>
    </w:p>
    <w:p w14:paraId="414614AC"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893D2CA" w14:textId="77777777" w:rsidR="000709B9" w:rsidRDefault="00860830" w:rsidP="00B83404">
      <w:pPr>
        <w:rPr>
          <w:color w:val="000000" w:themeColor="text1"/>
        </w:rPr>
      </w:pPr>
      <w:r w:rsidRPr="00ED172B">
        <w:rPr>
          <w:color w:val="000000" w:themeColor="text1"/>
        </w:rPr>
        <w:t>State monitoring</w:t>
      </w:r>
    </w:p>
    <w:p w14:paraId="1A0A7417" w14:textId="77777777" w:rsidR="0019150B" w:rsidRPr="00ED172B" w:rsidRDefault="000709B9" w:rsidP="00B83404">
      <w:pPr>
        <w:rPr>
          <w:b/>
          <w:color w:val="000000" w:themeColor="text1"/>
        </w:rPr>
      </w:pPr>
      <w:r w:rsidRPr="00ED172B">
        <w:rPr>
          <w:b/>
          <w:color w:val="000000" w:themeColor="text1"/>
        </w:rPr>
        <w:t xml:space="preserve">Describe the method used to select EIS programs for monitoring. </w:t>
      </w:r>
    </w:p>
    <w:p w14:paraId="1E144EA1" w14:textId="77777777" w:rsidR="000709B9" w:rsidRDefault="00860830" w:rsidP="000709B9">
      <w:pPr>
        <w:rPr>
          <w:color w:val="000000" w:themeColor="text1"/>
        </w:rPr>
      </w:pPr>
      <w:r w:rsidRPr="00ED172B">
        <w:rPr>
          <w:color w:val="000000" w:themeColor="text1"/>
        </w:rPr>
        <w:t>All nine Early Intervention Service (EIS) programs, also known as TEIS Points of Entry (POEs), were monitored for this indicator. For annual monitoring, TEIS uses a representative month of data. In FFY 2024, the selected month was March 2025. All initial IFSPs due in that month were reviewed using Tableau, a business intelligence tool linked to the state database. The review, conducted on May 19, 2025, assessed both systemic and child-level noncompliance.</w:t>
      </w:r>
    </w:p>
    <w:p w14:paraId="0C1939C7" w14:textId="77777777" w:rsidR="007876EE" w:rsidRDefault="007876EE"/>
    <w:p w14:paraId="3ECA3F1D" w14:textId="77777777" w:rsidR="007876EE" w:rsidRDefault="00000000">
      <w:r>
        <w:rPr>
          <w:color w:val="000000"/>
        </w:rPr>
        <w:t>Data Selection Process</w:t>
      </w:r>
    </w:p>
    <w:p w14:paraId="6FE421BC" w14:textId="77777777" w:rsidR="007876EE" w:rsidRDefault="00000000">
      <w:r>
        <w:rPr>
          <w:color w:val="000000"/>
        </w:rPr>
        <w:t>To determine the most representative month for monitoring, TEIS analyzed three years of data across multiple elements during FFY 2020-21. With technical assistance, TEIS concluded that all months were equally representative of the population served. The monitoring schedule for all nine EIS programs is reviewed and set annually.</w:t>
      </w:r>
    </w:p>
    <w:p w14:paraId="1DEF2036" w14:textId="77777777" w:rsidR="007876EE" w:rsidRDefault="007876EE"/>
    <w:p w14:paraId="79B37548" w14:textId="77777777" w:rsidR="007876EE" w:rsidRDefault="00000000">
      <w:r>
        <w:rPr>
          <w:color w:val="000000"/>
        </w:rPr>
        <w:t>Monitoring Details for FFY 2024-25</w:t>
      </w:r>
    </w:p>
    <w:p w14:paraId="74A737CD" w14:textId="77777777" w:rsidR="007876EE" w:rsidRDefault="00000000">
      <w:r>
        <w:rPr>
          <w:color w:val="000000"/>
        </w:rPr>
        <w:t>For FFY 2024-25, the Monitoring Team used March 2025 data from the Tennessee Early Intervention Data System (TEIDS) to calculate the percentage of eligible infants and toddlers with IFSPs who had an initial evaluation, assessment, and IFSP meeting completed within Part C’s 45-day timeline. The review included all children referred to TEIS with initial IFSPs due in March 2025.</w:t>
      </w:r>
    </w:p>
    <w:p w14:paraId="4E149BFF" w14:textId="77777777" w:rsidR="007876EE" w:rsidRDefault="00000000">
      <w:r>
        <w:rPr>
          <w:color w:val="000000"/>
        </w:rPr>
        <w:t xml:space="preserve">-The review included all 868 children with initial evaluation and initial IFSPs due in March 2025. </w:t>
      </w:r>
    </w:p>
    <w:p w14:paraId="07B16E77" w14:textId="77777777" w:rsidR="007876EE" w:rsidRDefault="00000000">
      <w:r>
        <w:rPr>
          <w:color w:val="000000"/>
        </w:rPr>
        <w:t xml:space="preserve">-All TEIS POEs and Service Coordinators with caseloads were represented in the data. </w:t>
      </w:r>
    </w:p>
    <w:p w14:paraId="3CE78321" w14:textId="77777777" w:rsidR="007876EE" w:rsidRDefault="007876EE"/>
    <w:p w14:paraId="189E4FCC" w14:textId="77777777" w:rsidR="007876EE" w:rsidRDefault="00000000">
      <w:r>
        <w:rPr>
          <w:color w:val="000000"/>
        </w:rPr>
        <w:t>Use of Tableau and Internal Controls</w:t>
      </w:r>
    </w:p>
    <w:p w14:paraId="0C68118A" w14:textId="77777777" w:rsidR="007876EE" w:rsidRDefault="00000000">
      <w:r>
        <w:rPr>
          <w:color w:val="000000"/>
        </w:rPr>
        <w:t xml:space="preserve">FFY 2023-24 marked the first year Tableau was used for Indicator 7 compliance monitoring. During that year, TEIS POE leadership also implemented </w:t>
      </w:r>
      <w:proofErr w:type="gramStart"/>
      <w:r>
        <w:rPr>
          <w:color w:val="000000"/>
        </w:rPr>
        <w:t>a monthly</w:t>
      </w:r>
      <w:proofErr w:type="gramEnd"/>
      <w:r>
        <w:rPr>
          <w:color w:val="000000"/>
        </w:rPr>
        <w:t xml:space="preserve"> Internal Controls for Monitoring Process to improve oversight of compliance data.</w:t>
      </w:r>
    </w:p>
    <w:p w14:paraId="0F75991A" w14:textId="77777777" w:rsidR="007876EE" w:rsidRDefault="007876EE"/>
    <w:p w14:paraId="2D7F363D" w14:textId="77777777" w:rsidR="007876EE" w:rsidRDefault="00000000">
      <w:r>
        <w:rPr>
          <w:color w:val="000000"/>
        </w:rPr>
        <w:t>POE leadership accessed real-time data through Tableau, enabling proactive responses, forecasting, and resource allocation to prevent delays.</w:t>
      </w:r>
    </w:p>
    <w:p w14:paraId="04509A0E" w14:textId="77777777" w:rsidR="007876EE" w:rsidRDefault="00000000">
      <w:r>
        <w:rPr>
          <w:color w:val="000000"/>
        </w:rPr>
        <w:t>When delays occurred, reasons were documented in the data system (e.g., exceptional family circumstances, system-related issues).</w:t>
      </w:r>
    </w:p>
    <w:p w14:paraId="2332C109" w14:textId="77777777" w:rsidR="003A3693" w:rsidRPr="00ED172B" w:rsidRDefault="003A3693" w:rsidP="003A3693">
      <w:pPr>
        <w:rPr>
          <w:rFonts w:cs="Arial"/>
          <w:b/>
          <w:color w:val="000000" w:themeColor="text1"/>
          <w:szCs w:val="16"/>
        </w:rPr>
      </w:pPr>
      <w:bookmarkStart w:id="41" w:name="_Toc386209666"/>
      <w:bookmarkStart w:id="42" w:name="_Toc392159299"/>
      <w:bookmarkEnd w:id="39"/>
      <w:bookmarkEnd w:id="40"/>
      <w:r w:rsidRPr="00ED172B">
        <w:rPr>
          <w:rFonts w:cs="Arial"/>
          <w:b/>
          <w:color w:val="000000" w:themeColor="text1"/>
          <w:szCs w:val="16"/>
        </w:rPr>
        <w:t>Provide additional information about this indicator (optional).</w:t>
      </w:r>
    </w:p>
    <w:p w14:paraId="6D2447B7" w14:textId="77777777" w:rsidR="003A3693" w:rsidRPr="00ED172B" w:rsidRDefault="003A3693" w:rsidP="003A3693">
      <w:pPr>
        <w:rPr>
          <w:rFonts w:cs="Arial"/>
          <w:color w:val="000000" w:themeColor="text1"/>
          <w:szCs w:val="16"/>
        </w:rPr>
      </w:pPr>
    </w:p>
    <w:p w14:paraId="23E02255"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782F386A" w14:textId="77777777" w:rsidTr="00986B99">
        <w:trPr>
          <w:trHeight w:val="389"/>
          <w:tblHeader/>
        </w:trPr>
        <w:tc>
          <w:tcPr>
            <w:tcW w:w="1226" w:type="pct"/>
            <w:vAlign w:val="bottom"/>
          </w:tcPr>
          <w:p w14:paraId="6891CB40"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3C2F552E"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7EE3940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7BB209CF"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3ED7E863" w14:textId="77777777" w:rsidTr="00986B99">
        <w:tc>
          <w:tcPr>
            <w:tcW w:w="1226" w:type="pct"/>
          </w:tcPr>
          <w:p w14:paraId="46944234"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tcPr>
          <w:p w14:paraId="40BC9CEF"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tcPr>
          <w:p w14:paraId="1EDD40B6"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tcPr>
          <w:p w14:paraId="29084F53" w14:textId="77777777"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7BFAF182"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650FF65F" w14:textId="77777777" w:rsidR="00416EBD" w:rsidRPr="00510A22" w:rsidRDefault="00416EBD" w:rsidP="00416EBD">
      <w:pPr>
        <w:rPr>
          <w:color w:val="00B0F0"/>
        </w:rPr>
      </w:pPr>
      <w:r w:rsidRPr="00EE69F5">
        <w:t>Verification of Correction of Noncompliance</w:t>
      </w:r>
    </w:p>
    <w:p w14:paraId="306B74F4" w14:textId="77777777" w:rsidR="007876EE" w:rsidRDefault="007876EE"/>
    <w:p w14:paraId="25727156" w14:textId="77777777" w:rsidR="007876EE" w:rsidRDefault="00000000">
      <w:r>
        <w:t xml:space="preserve">TEIS utilizes OSEP’s QA 23 01 guidance to ensure full alignment with federal requirements for identifying and correcting noncompliance through the State’s general supervision system. In FFY 2023, Tennessee Early Intervention System (TEIS) utilized a pre finding correction process for Indicator 7. This practice was discontinued beginning in FFY 2024. </w:t>
      </w:r>
    </w:p>
    <w:p w14:paraId="3272A8AA" w14:textId="77777777" w:rsidR="007876EE" w:rsidRDefault="007876EE"/>
    <w:p w14:paraId="73BD52FA" w14:textId="77777777" w:rsidR="007876EE" w:rsidRDefault="00000000">
      <w:r>
        <w:t>Identification of Noncompliance</w:t>
      </w:r>
    </w:p>
    <w:p w14:paraId="41253D20" w14:textId="77777777" w:rsidR="007876EE" w:rsidRDefault="007876EE"/>
    <w:p w14:paraId="4CA6DBA7" w14:textId="77777777" w:rsidR="007876EE" w:rsidRDefault="00000000">
      <w:r>
        <w:t>As part of TEIS’s annual monitoring activities for FFY 2023, the State reviewed data for all initial IFSPs due in October 2023. This review, completed on December 5, 2023, included all nine Early Intervention Service (EIS) programs. Three EIS programs were verified as 100% compliant at the time of review. For the remaining six programs, TEIS identified instances of child level and/or systemic noncompliance in accordance with State procedures.</w:t>
      </w:r>
    </w:p>
    <w:p w14:paraId="38456624" w14:textId="77777777" w:rsidR="007876EE" w:rsidRDefault="007876EE"/>
    <w:p w14:paraId="596C5010" w14:textId="77777777" w:rsidR="007876EE" w:rsidRDefault="00000000">
      <w:r>
        <w:t>Correction of Noncompliance</w:t>
      </w:r>
    </w:p>
    <w:p w14:paraId="2B485F9D" w14:textId="77777777" w:rsidR="007876EE" w:rsidRDefault="007876EE"/>
    <w:p w14:paraId="1288CFCC" w14:textId="77777777" w:rsidR="007876EE" w:rsidRDefault="00000000">
      <w:r>
        <w:t>TEIS implemented a structured monthly data review process to ensure timely correction.</w:t>
      </w:r>
    </w:p>
    <w:p w14:paraId="25987CB5" w14:textId="77777777" w:rsidR="007876EE" w:rsidRDefault="00000000">
      <w:r>
        <w:t xml:space="preserve">-The October 2023 initial IFSP data were reviewed again in December 2023 and January 2024 until each individual case of child level noncompliance identified in the original data pull was verified as corrected. </w:t>
      </w:r>
    </w:p>
    <w:p w14:paraId="65F4FD0D" w14:textId="77777777" w:rsidR="007876EE" w:rsidRDefault="00000000">
      <w:r>
        <w:t xml:space="preserve">-Data for all initial IFSPs due in November 2023 were reviewed in January 2024 for the programs not initially found to be 100% in compliance in October to verify that there were no additional instances of child-level or system delays. </w:t>
      </w:r>
    </w:p>
    <w:p w14:paraId="029CB8A3" w14:textId="77777777" w:rsidR="007876EE" w:rsidRDefault="007876EE"/>
    <w:p w14:paraId="516401AE" w14:textId="77777777" w:rsidR="007876EE" w:rsidRDefault="00000000">
      <w:r>
        <w:t>Through this process, TEIS verified that each EIS program was 100% compliant at the system and child-levels. For child level compliance, TEIS verified that each affected child received the required meeting or was no longer under the jurisdiction of TEIS. For systemic compliance, TEIS confirmed that the EIS program demonstrated the ability to correctly implement the regulatory requirements moving forward, consistent with OSEP’s requirements.</w:t>
      </w:r>
    </w:p>
    <w:p w14:paraId="04A16076" w14:textId="77777777" w:rsidR="007876EE" w:rsidRDefault="007876EE"/>
    <w:p w14:paraId="3DFE36BB" w14:textId="77777777" w:rsidR="007876EE" w:rsidRDefault="00000000">
      <w:r>
        <w:t>Verification of Full Compliance Prior to the Issuance of Findings</w:t>
      </w:r>
    </w:p>
    <w:p w14:paraId="5C866FAF" w14:textId="77777777" w:rsidR="007876EE" w:rsidRDefault="007876EE"/>
    <w:p w14:paraId="2C777EEB" w14:textId="77777777" w:rsidR="007876EE" w:rsidRDefault="00000000">
      <w:r>
        <w:t xml:space="preserve">TEIS verified 100% compliance for each of the EIS six programs not initially 100%. In accordance with TEIS’s pre-finding correction practices effective in FFY 2023 and OSEP’s 23-01 guidance, these six EIS programs were verified as 100% compliant prior to the issuance of findings of noncompliance; therefore, no Indicator 7 findings were issued for these programs. </w:t>
      </w:r>
    </w:p>
    <w:p w14:paraId="7F4CB7E3" w14:textId="77777777"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6B459B1A" w14:textId="77777777" w:rsidTr="00986B99">
        <w:trPr>
          <w:tblHeader/>
        </w:trPr>
        <w:tc>
          <w:tcPr>
            <w:tcW w:w="899" w:type="pct"/>
            <w:vAlign w:val="bottom"/>
          </w:tcPr>
          <w:p w14:paraId="3D377A5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vAlign w:val="bottom"/>
          </w:tcPr>
          <w:p w14:paraId="145D7DF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61B6AA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37C7138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6F4CD9E" w14:textId="77777777" w:rsidTr="00986B99">
        <w:tc>
          <w:tcPr>
            <w:tcW w:w="899" w:type="pct"/>
          </w:tcPr>
          <w:p w14:paraId="685C2BF4" w14:textId="77777777" w:rsidR="008203B4" w:rsidRPr="00ED172B" w:rsidRDefault="008203B4" w:rsidP="00D21F29">
            <w:pPr>
              <w:jc w:val="center"/>
              <w:rPr>
                <w:rFonts w:cs="Arial"/>
                <w:color w:val="000000" w:themeColor="text1"/>
                <w:szCs w:val="16"/>
              </w:rPr>
            </w:pPr>
          </w:p>
        </w:tc>
        <w:tc>
          <w:tcPr>
            <w:tcW w:w="1399" w:type="pct"/>
          </w:tcPr>
          <w:p w14:paraId="330F250E" w14:textId="77777777" w:rsidR="008203B4" w:rsidRPr="00ED172B" w:rsidRDefault="008203B4" w:rsidP="00CD79C5">
            <w:pPr>
              <w:jc w:val="center"/>
              <w:rPr>
                <w:rFonts w:cs="Arial"/>
                <w:noProof/>
                <w:color w:val="000000" w:themeColor="text1"/>
                <w:szCs w:val="16"/>
              </w:rPr>
            </w:pPr>
          </w:p>
        </w:tc>
        <w:tc>
          <w:tcPr>
            <w:tcW w:w="1394" w:type="pct"/>
          </w:tcPr>
          <w:p w14:paraId="670D55C3" w14:textId="77777777" w:rsidR="008203B4" w:rsidRPr="00ED172B" w:rsidRDefault="008203B4" w:rsidP="00CD79C5">
            <w:pPr>
              <w:jc w:val="center"/>
              <w:rPr>
                <w:rFonts w:cs="Arial"/>
                <w:noProof/>
                <w:color w:val="000000" w:themeColor="text1"/>
                <w:szCs w:val="16"/>
              </w:rPr>
            </w:pPr>
          </w:p>
        </w:tc>
        <w:tc>
          <w:tcPr>
            <w:tcW w:w="1307" w:type="pct"/>
          </w:tcPr>
          <w:p w14:paraId="05A00537" w14:textId="77777777" w:rsidR="008203B4" w:rsidRPr="00ED172B" w:rsidRDefault="008203B4" w:rsidP="00CD79C5">
            <w:pPr>
              <w:jc w:val="center"/>
              <w:rPr>
                <w:rFonts w:cs="Arial"/>
                <w:noProof/>
                <w:color w:val="000000" w:themeColor="text1"/>
                <w:szCs w:val="16"/>
              </w:rPr>
            </w:pPr>
          </w:p>
        </w:tc>
      </w:tr>
      <w:tr w:rsidR="00ED172B" w:rsidRPr="00ED172B" w14:paraId="70CFB840" w14:textId="77777777" w:rsidTr="00986B99">
        <w:tc>
          <w:tcPr>
            <w:tcW w:w="899" w:type="pct"/>
          </w:tcPr>
          <w:p w14:paraId="588120E8" w14:textId="77777777" w:rsidR="008203B4" w:rsidRPr="00ED172B" w:rsidRDefault="008203B4" w:rsidP="00D21F29">
            <w:pPr>
              <w:jc w:val="center"/>
              <w:rPr>
                <w:rFonts w:cs="Arial"/>
                <w:color w:val="000000" w:themeColor="text1"/>
                <w:szCs w:val="16"/>
              </w:rPr>
            </w:pPr>
          </w:p>
        </w:tc>
        <w:tc>
          <w:tcPr>
            <w:tcW w:w="1399" w:type="pct"/>
          </w:tcPr>
          <w:p w14:paraId="6CD83D72" w14:textId="77777777" w:rsidR="008203B4" w:rsidRPr="00ED172B" w:rsidRDefault="008203B4" w:rsidP="00CD79C5">
            <w:pPr>
              <w:jc w:val="center"/>
              <w:rPr>
                <w:rFonts w:cs="Arial"/>
                <w:noProof/>
                <w:color w:val="000000" w:themeColor="text1"/>
                <w:szCs w:val="16"/>
              </w:rPr>
            </w:pPr>
          </w:p>
        </w:tc>
        <w:tc>
          <w:tcPr>
            <w:tcW w:w="1394" w:type="pct"/>
          </w:tcPr>
          <w:p w14:paraId="3EBA1E19" w14:textId="77777777" w:rsidR="008203B4" w:rsidRPr="00ED172B" w:rsidRDefault="008203B4" w:rsidP="00CD79C5">
            <w:pPr>
              <w:jc w:val="center"/>
              <w:rPr>
                <w:rFonts w:cs="Arial"/>
                <w:noProof/>
                <w:color w:val="000000" w:themeColor="text1"/>
                <w:szCs w:val="16"/>
              </w:rPr>
            </w:pPr>
          </w:p>
        </w:tc>
        <w:tc>
          <w:tcPr>
            <w:tcW w:w="1307" w:type="pct"/>
          </w:tcPr>
          <w:p w14:paraId="05217D47" w14:textId="77777777" w:rsidR="008203B4" w:rsidRPr="00ED172B" w:rsidRDefault="008203B4" w:rsidP="00CD79C5">
            <w:pPr>
              <w:jc w:val="center"/>
              <w:rPr>
                <w:rFonts w:cs="Arial"/>
                <w:noProof/>
                <w:color w:val="000000" w:themeColor="text1"/>
                <w:szCs w:val="16"/>
              </w:rPr>
            </w:pPr>
          </w:p>
        </w:tc>
      </w:tr>
      <w:tr w:rsidR="00ED172B" w:rsidRPr="00ED172B" w14:paraId="41A143DC" w14:textId="77777777" w:rsidTr="00986B99">
        <w:tc>
          <w:tcPr>
            <w:tcW w:w="899" w:type="pct"/>
          </w:tcPr>
          <w:p w14:paraId="6BDC5693" w14:textId="77777777" w:rsidR="008203B4" w:rsidRPr="00ED172B" w:rsidRDefault="008203B4" w:rsidP="00D21F29">
            <w:pPr>
              <w:jc w:val="center"/>
              <w:rPr>
                <w:rFonts w:cs="Arial"/>
                <w:color w:val="000000" w:themeColor="text1"/>
                <w:szCs w:val="16"/>
              </w:rPr>
            </w:pPr>
          </w:p>
        </w:tc>
        <w:tc>
          <w:tcPr>
            <w:tcW w:w="1399" w:type="pct"/>
          </w:tcPr>
          <w:p w14:paraId="7EF231D2" w14:textId="77777777" w:rsidR="008203B4" w:rsidRPr="00ED172B" w:rsidRDefault="008203B4" w:rsidP="00CD79C5">
            <w:pPr>
              <w:jc w:val="center"/>
              <w:rPr>
                <w:rFonts w:cs="Arial"/>
                <w:noProof/>
                <w:color w:val="000000" w:themeColor="text1"/>
                <w:szCs w:val="16"/>
              </w:rPr>
            </w:pPr>
          </w:p>
        </w:tc>
        <w:tc>
          <w:tcPr>
            <w:tcW w:w="1394" w:type="pct"/>
          </w:tcPr>
          <w:p w14:paraId="2C6E3F33" w14:textId="77777777" w:rsidR="008203B4" w:rsidRPr="00ED172B" w:rsidRDefault="008203B4" w:rsidP="00CD79C5">
            <w:pPr>
              <w:jc w:val="center"/>
              <w:rPr>
                <w:rFonts w:cs="Arial"/>
                <w:noProof/>
                <w:color w:val="000000" w:themeColor="text1"/>
                <w:szCs w:val="16"/>
              </w:rPr>
            </w:pPr>
          </w:p>
        </w:tc>
        <w:tc>
          <w:tcPr>
            <w:tcW w:w="1307" w:type="pct"/>
          </w:tcPr>
          <w:p w14:paraId="1C7B4F63" w14:textId="77777777" w:rsidR="008203B4" w:rsidRPr="00ED172B" w:rsidRDefault="008203B4" w:rsidP="00CD79C5">
            <w:pPr>
              <w:jc w:val="center"/>
              <w:rPr>
                <w:rFonts w:cs="Arial"/>
                <w:noProof/>
                <w:color w:val="000000" w:themeColor="text1"/>
                <w:szCs w:val="16"/>
              </w:rPr>
            </w:pPr>
          </w:p>
        </w:tc>
      </w:tr>
      <w:tr w:rsidR="00DE328D" w:rsidRPr="00ED172B" w14:paraId="4D5DC581" w14:textId="77777777" w:rsidTr="00986B99">
        <w:tc>
          <w:tcPr>
            <w:tcW w:w="899" w:type="pct"/>
          </w:tcPr>
          <w:p w14:paraId="62B51FEB" w14:textId="77777777" w:rsidR="00DE328D" w:rsidRPr="00ED172B" w:rsidRDefault="00DE328D" w:rsidP="00D21F29">
            <w:pPr>
              <w:jc w:val="center"/>
              <w:rPr>
                <w:rFonts w:cs="Arial"/>
                <w:color w:val="000000" w:themeColor="text1"/>
                <w:szCs w:val="16"/>
              </w:rPr>
            </w:pPr>
          </w:p>
        </w:tc>
        <w:tc>
          <w:tcPr>
            <w:tcW w:w="1399" w:type="pct"/>
          </w:tcPr>
          <w:p w14:paraId="599661C5" w14:textId="77777777" w:rsidR="00DE328D" w:rsidRPr="00ED172B" w:rsidRDefault="00DE328D" w:rsidP="00DE328D">
            <w:pPr>
              <w:jc w:val="center"/>
              <w:rPr>
                <w:rFonts w:cs="Arial"/>
                <w:color w:val="000000" w:themeColor="text1"/>
                <w:szCs w:val="16"/>
              </w:rPr>
            </w:pPr>
          </w:p>
        </w:tc>
        <w:tc>
          <w:tcPr>
            <w:tcW w:w="1394" w:type="pct"/>
          </w:tcPr>
          <w:p w14:paraId="7931B5E1" w14:textId="77777777" w:rsidR="00DE328D" w:rsidRPr="00ED172B" w:rsidRDefault="00DE328D" w:rsidP="00DE328D">
            <w:pPr>
              <w:jc w:val="center"/>
              <w:rPr>
                <w:rFonts w:cs="Arial"/>
                <w:color w:val="000000" w:themeColor="text1"/>
                <w:szCs w:val="16"/>
              </w:rPr>
            </w:pPr>
          </w:p>
        </w:tc>
        <w:tc>
          <w:tcPr>
            <w:tcW w:w="1307" w:type="pct"/>
          </w:tcPr>
          <w:p w14:paraId="031B677D" w14:textId="77777777" w:rsidR="00DE328D" w:rsidRPr="00ED172B" w:rsidRDefault="00DE328D" w:rsidP="00DE328D">
            <w:pPr>
              <w:jc w:val="center"/>
              <w:rPr>
                <w:rFonts w:cs="Arial"/>
                <w:color w:val="000000" w:themeColor="text1"/>
                <w:szCs w:val="16"/>
              </w:rPr>
            </w:pPr>
          </w:p>
        </w:tc>
      </w:tr>
      <w:tr w:rsidR="00DE328D" w:rsidRPr="00ED172B" w14:paraId="2C6877DB" w14:textId="77777777" w:rsidTr="00986B99">
        <w:tc>
          <w:tcPr>
            <w:tcW w:w="899" w:type="pct"/>
          </w:tcPr>
          <w:p w14:paraId="216ECE51" w14:textId="77777777" w:rsidR="00DE328D" w:rsidRPr="00ED172B" w:rsidRDefault="00DE328D" w:rsidP="00D21F29">
            <w:pPr>
              <w:jc w:val="center"/>
              <w:rPr>
                <w:rFonts w:cs="Arial"/>
                <w:color w:val="000000" w:themeColor="text1"/>
                <w:szCs w:val="16"/>
              </w:rPr>
            </w:pPr>
          </w:p>
        </w:tc>
        <w:tc>
          <w:tcPr>
            <w:tcW w:w="1399" w:type="pct"/>
          </w:tcPr>
          <w:p w14:paraId="32EDCBD9" w14:textId="77777777" w:rsidR="00DE328D" w:rsidRPr="00ED172B" w:rsidRDefault="00DE328D" w:rsidP="00DE328D">
            <w:pPr>
              <w:jc w:val="center"/>
              <w:rPr>
                <w:rFonts w:cs="Arial"/>
                <w:color w:val="000000" w:themeColor="text1"/>
                <w:szCs w:val="16"/>
              </w:rPr>
            </w:pPr>
          </w:p>
        </w:tc>
        <w:tc>
          <w:tcPr>
            <w:tcW w:w="1394" w:type="pct"/>
          </w:tcPr>
          <w:p w14:paraId="67B2162D" w14:textId="77777777" w:rsidR="00DE328D" w:rsidRPr="00ED172B" w:rsidRDefault="00DE328D" w:rsidP="00DE328D">
            <w:pPr>
              <w:jc w:val="center"/>
              <w:rPr>
                <w:rFonts w:cs="Arial"/>
                <w:color w:val="000000" w:themeColor="text1"/>
                <w:szCs w:val="16"/>
              </w:rPr>
            </w:pPr>
          </w:p>
        </w:tc>
        <w:tc>
          <w:tcPr>
            <w:tcW w:w="1307" w:type="pct"/>
          </w:tcPr>
          <w:p w14:paraId="3609AE17" w14:textId="77777777" w:rsidR="00DE328D" w:rsidRPr="00ED172B" w:rsidRDefault="00DE328D" w:rsidP="00DE328D">
            <w:pPr>
              <w:jc w:val="center"/>
              <w:rPr>
                <w:rFonts w:cs="Arial"/>
                <w:color w:val="000000" w:themeColor="text1"/>
                <w:szCs w:val="16"/>
              </w:rPr>
            </w:pPr>
          </w:p>
        </w:tc>
      </w:tr>
    </w:tbl>
    <w:p w14:paraId="3ECADBAF" w14:textId="77777777" w:rsidR="00DE328D" w:rsidRPr="00ED172B" w:rsidRDefault="00DE328D">
      <w:pPr>
        <w:rPr>
          <w:color w:val="000000" w:themeColor="text1"/>
        </w:rPr>
      </w:pPr>
    </w:p>
    <w:p w14:paraId="075A9B39" w14:textId="77777777" w:rsidR="008203B4" w:rsidRPr="00A40EE1" w:rsidRDefault="000D0117" w:rsidP="005C3FFD">
      <w:pPr>
        <w:pStyle w:val="Heading2"/>
      </w:pPr>
      <w:r w:rsidRPr="00A40EE1">
        <w:t xml:space="preserve">7 - </w:t>
      </w:r>
      <w:r w:rsidR="008203B4" w:rsidRPr="00A40EE1">
        <w:t>Prior FFY Required Actions</w:t>
      </w:r>
    </w:p>
    <w:p w14:paraId="3A019A98" w14:textId="77777777" w:rsidR="004C1CEE" w:rsidRPr="00ED172B" w:rsidRDefault="00320806" w:rsidP="003977D8">
      <w:pPr>
        <w:rPr>
          <w:rFonts w:cs="Arial"/>
          <w:i/>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ED172B">
        <w:rPr>
          <w:color w:val="000000" w:themeColor="text1"/>
        </w:rPr>
        <w:t>reflect</w:t>
      </w:r>
      <w:proofErr w:type="gramEnd"/>
      <w:r w:rsidRPr="00ED172B">
        <w:rPr>
          <w:color w:val="000000" w:themeColor="text1"/>
        </w:rPr>
        <w:t xml:space="preserve">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6A949E98" w14:textId="77777777" w:rsidR="008203B4" w:rsidRPr="00ED172B" w:rsidRDefault="008203B4" w:rsidP="00B83404">
      <w:pPr>
        <w:rPr>
          <w:color w:val="000000" w:themeColor="text1"/>
        </w:rPr>
      </w:pPr>
      <w:r w:rsidRPr="00ED172B">
        <w:rPr>
          <w:b/>
          <w:color w:val="000000" w:themeColor="text1"/>
        </w:rPr>
        <w:t>Response to actions required in FFY 2023 SPP/APR</w:t>
      </w:r>
    </w:p>
    <w:p w14:paraId="62952434" w14:textId="77777777" w:rsidR="004C1CEE" w:rsidRPr="00ED172B" w:rsidRDefault="00027F39" w:rsidP="00027F39">
      <w:pPr>
        <w:rPr>
          <w:color w:val="000000" w:themeColor="text1"/>
        </w:rPr>
      </w:pPr>
      <w:r w:rsidRPr="00ED172B">
        <w:rPr>
          <w:color w:val="000000" w:themeColor="text1"/>
        </w:rPr>
        <w:t>The State has revised and expanded the section describing its pre finding correction process in FFY 2023 for this indicator. The updated narrative provides a clearer explanation of how TEIS ensured full alignment with OSEP QA 23 01, including (1) verification that each EIS program correctly implemented the regulatory requirements based on subsequently collected data, and (2) confirmation that each individual instance of noncompliance was corrected unless the child was no longer within the program’s jurisdiction. The revised description now explicitly details the data sources reviewed, the monthly verification steps used to confirm both child level and systemic correction, and how TEIS determined that programs achieved 100% compliance prior to the issuance of findings.</w:t>
      </w:r>
    </w:p>
    <w:p w14:paraId="0E9AC9D1" w14:textId="77777777" w:rsidR="008203B4" w:rsidRPr="00A40EE1" w:rsidRDefault="000D0117" w:rsidP="005C3FFD">
      <w:pPr>
        <w:pStyle w:val="Heading2"/>
      </w:pPr>
      <w:r w:rsidRPr="00A40EE1">
        <w:t xml:space="preserve">7 - </w:t>
      </w:r>
      <w:r w:rsidR="008203B4" w:rsidRPr="00A40EE1">
        <w:t>OSEP Response</w:t>
      </w:r>
    </w:p>
    <w:p w14:paraId="633D121E" w14:textId="77777777" w:rsidR="008203B4" w:rsidRPr="00ED172B" w:rsidRDefault="00320806" w:rsidP="00320806">
      <w:pPr>
        <w:rPr>
          <w:color w:val="000000" w:themeColor="text1"/>
        </w:rPr>
      </w:pPr>
      <w:r w:rsidRPr="00ED172B">
        <w:rPr>
          <w:color w:val="000000" w:themeColor="text1"/>
        </w:rPr>
        <w:t>The State's FFY 2023 data for this indicator reflected less than 100% compliance. The State reported that it did not identify any findings of noncompliance in FFY 2023 because it corrected the noncompliance prior to the issuance of findings. However, OSEP could not determine if the State ensured, consistent with OSEP QA 23-01, that each EIS program or provider: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EIS program or provider.</w:t>
      </w:r>
    </w:p>
    <w:p w14:paraId="38ECF5C5" w14:textId="77777777" w:rsidR="008203B4" w:rsidRPr="00A40EE1" w:rsidRDefault="000D0117" w:rsidP="005C3FFD">
      <w:pPr>
        <w:pStyle w:val="Heading2"/>
      </w:pPr>
      <w:r w:rsidRPr="00A40EE1">
        <w:lastRenderedPageBreak/>
        <w:t xml:space="preserve">7 - </w:t>
      </w:r>
      <w:r w:rsidR="008203B4" w:rsidRPr="00A40EE1">
        <w:t>Required Actions</w:t>
      </w:r>
    </w:p>
    <w:p w14:paraId="759D5D7B" w14:textId="77777777" w:rsidR="008203B4" w:rsidRPr="00ED172B" w:rsidRDefault="008203B4" w:rsidP="00320806">
      <w:pPr>
        <w:rPr>
          <w:color w:val="000000" w:themeColor="text1"/>
        </w:rPr>
      </w:pPr>
    </w:p>
    <w:p w14:paraId="31182C7F"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76FE4DF" w14:textId="77777777"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1"/>
    </w:p>
    <w:p w14:paraId="6AAC0598" w14:textId="77777777" w:rsidR="00F51610" w:rsidRPr="00ED172B" w:rsidRDefault="00F51610" w:rsidP="00186420">
      <w:pPr>
        <w:rPr>
          <w:color w:val="000000" w:themeColor="text1"/>
          <w:szCs w:val="20"/>
        </w:rPr>
      </w:pPr>
      <w:bookmarkStart w:id="43" w:name="_Toc386209667"/>
      <w:r w:rsidRPr="00ED172B">
        <w:rPr>
          <w:b/>
          <w:color w:val="000000" w:themeColor="text1"/>
          <w:sz w:val="20"/>
          <w:szCs w:val="20"/>
        </w:rPr>
        <w:t>Instructions and Measurement</w:t>
      </w:r>
    </w:p>
    <w:p w14:paraId="645F761A" w14:textId="77777777"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4" w:name="_Hlk25310256"/>
      <w:r w:rsidR="00616172" w:rsidRPr="00ED172B">
        <w:rPr>
          <w:color w:val="000000" w:themeColor="text1"/>
          <w:szCs w:val="16"/>
        </w:rPr>
        <w:t>Effective Transition</w:t>
      </w:r>
      <w:bookmarkEnd w:id="44"/>
    </w:p>
    <w:p w14:paraId="3D42B423"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The percentage of toddlers with disabilities </w:t>
      </w:r>
      <w:proofErr w:type="gramStart"/>
      <w:r w:rsidRPr="00ED172B">
        <w:rPr>
          <w:color w:val="000000" w:themeColor="text1"/>
          <w:szCs w:val="16"/>
        </w:rPr>
        <w:t>exiting</w:t>
      </w:r>
      <w:proofErr w:type="gramEnd"/>
      <w:r w:rsidRPr="00ED172B">
        <w:rPr>
          <w:color w:val="000000" w:themeColor="text1"/>
          <w:szCs w:val="16"/>
        </w:rPr>
        <w:t xml:space="preserve"> Part C with timely transition planning for whom the Lead Agency has:</w:t>
      </w:r>
    </w:p>
    <w:p w14:paraId="430583BF" w14:textId="77777777" w:rsidR="00260ED7" w:rsidRPr="00ED172B" w:rsidRDefault="007F55E8" w:rsidP="00ED172B">
      <w:pPr>
        <w:ind w:left="360"/>
        <w:rPr>
          <w:color w:val="000000" w:themeColor="text1"/>
          <w:szCs w:val="16"/>
        </w:rPr>
      </w:pPr>
      <w:r w:rsidRPr="00ED172B">
        <w:rPr>
          <w:color w:val="000000" w:themeColor="text1"/>
          <w:szCs w:val="16"/>
        </w:rPr>
        <w:t xml:space="preserve">A. Developed an IFSP with transition steps and services at least 90 days, and at the discretion of all parties, not more than nine months, prior to the toddler’s third </w:t>
      </w:r>
      <w:proofErr w:type="gramStart"/>
      <w:r w:rsidRPr="00ED172B">
        <w:rPr>
          <w:color w:val="000000" w:themeColor="text1"/>
          <w:szCs w:val="16"/>
        </w:rPr>
        <w:t>birthday;</w:t>
      </w:r>
      <w:proofErr w:type="gramEnd"/>
    </w:p>
    <w:p w14:paraId="459C18D8" w14:textId="77777777"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1071E3DF" w14:textId="77777777" w:rsidR="00260ED7" w:rsidRPr="00ED172B" w:rsidRDefault="007F55E8" w:rsidP="00ED172B">
      <w:pPr>
        <w:ind w:left="360"/>
        <w:rPr>
          <w:color w:val="000000" w:themeColor="text1"/>
          <w:szCs w:val="16"/>
        </w:rPr>
      </w:pPr>
      <w:r w:rsidRPr="00ED172B">
        <w:rPr>
          <w:color w:val="000000" w:themeColor="text1"/>
          <w:szCs w:val="16"/>
        </w:rPr>
        <w:t xml:space="preserve">C. Conducted the transition conference held with the approval of the </w:t>
      </w:r>
      <w:proofErr w:type="gramStart"/>
      <w:r w:rsidRPr="00ED172B">
        <w:rPr>
          <w:color w:val="000000" w:themeColor="text1"/>
          <w:szCs w:val="16"/>
        </w:rPr>
        <w:t>family</w:t>
      </w:r>
      <w:proofErr w:type="gramEnd"/>
      <w:r w:rsidRPr="00ED172B">
        <w:rPr>
          <w:color w:val="000000" w:themeColor="text1"/>
          <w:szCs w:val="16"/>
        </w:rPr>
        <w:t xml:space="preserve"> at least 90 days, and at the discretion of all parties, not more than nine months, prior to the toddler’s third birthday for toddlers potentially eligible for Part B preschool services.</w:t>
      </w:r>
    </w:p>
    <w:p w14:paraId="7C3FADD6"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1FCE40D" w14:textId="77777777" w:rsidR="00AD77EF" w:rsidRPr="00ED172B" w:rsidRDefault="00AD77EF">
      <w:pPr>
        <w:rPr>
          <w:b/>
          <w:color w:val="000000" w:themeColor="text1"/>
        </w:rPr>
      </w:pPr>
      <w:r w:rsidRPr="00ED172B">
        <w:rPr>
          <w:b/>
          <w:color w:val="000000" w:themeColor="text1"/>
        </w:rPr>
        <w:t>Data Source</w:t>
      </w:r>
    </w:p>
    <w:p w14:paraId="4DC5A38F" w14:textId="77777777"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322080D0" w14:textId="77777777" w:rsidR="00AD77EF" w:rsidRPr="00ED172B" w:rsidRDefault="00AD77EF">
      <w:pPr>
        <w:rPr>
          <w:b/>
          <w:color w:val="000000" w:themeColor="text1"/>
        </w:rPr>
      </w:pPr>
      <w:r w:rsidRPr="00ED172B">
        <w:rPr>
          <w:b/>
          <w:color w:val="000000" w:themeColor="text1"/>
        </w:rPr>
        <w:t>Measurement</w:t>
      </w:r>
    </w:p>
    <w:p w14:paraId="23FA7991" w14:textId="77777777" w:rsidR="00AD77EF" w:rsidRPr="00ED172B" w:rsidRDefault="007F55E8" w:rsidP="00ED172B">
      <w:pPr>
        <w:ind w:left="360"/>
        <w:rPr>
          <w:color w:val="000000" w:themeColor="text1"/>
          <w:szCs w:val="16"/>
        </w:rPr>
      </w:pPr>
      <w:r w:rsidRPr="00ED172B">
        <w:rPr>
          <w:color w:val="000000" w:themeColor="text1"/>
          <w:szCs w:val="16"/>
        </w:rPr>
        <w:t xml:space="preserve">A. Percent = </w:t>
      </w:r>
      <w:proofErr w:type="gramStart"/>
      <w:r w:rsidRPr="00ED172B">
        <w:rPr>
          <w:color w:val="000000" w:themeColor="text1"/>
          <w:szCs w:val="16"/>
        </w:rPr>
        <w:t xml:space="preserve">[(# </w:t>
      </w:r>
      <w:proofErr w:type="gramEnd"/>
      <w:r w:rsidRPr="00ED172B">
        <w:rPr>
          <w:color w:val="000000" w:themeColor="text1"/>
          <w:szCs w:val="16"/>
        </w:rPr>
        <w:t xml:space="preserve">of toddlers with disabilities exiting Part C at age 3 who have an IFSP with transition steps and services at least 90 days, and at the discretion of all parties not more than nine months, prior to their third birthday) divided by </w:t>
      </w:r>
      <w:proofErr w:type="gramStart"/>
      <w:r w:rsidRPr="00ED172B">
        <w:rPr>
          <w:color w:val="000000" w:themeColor="text1"/>
          <w:szCs w:val="16"/>
        </w:rPr>
        <w:t xml:space="preserve">the (# </w:t>
      </w:r>
      <w:proofErr w:type="gramEnd"/>
      <w:r w:rsidRPr="00ED172B">
        <w:rPr>
          <w:color w:val="000000" w:themeColor="text1"/>
          <w:szCs w:val="16"/>
        </w:rPr>
        <w:t>of toddlers with disabilities exiting Part C at age 3)] times 100.</w:t>
      </w:r>
    </w:p>
    <w:p w14:paraId="5B166686" w14:textId="77777777"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0567FB06" w14:textId="77777777"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115CE94" w14:textId="77777777"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3CA2BC7D" w14:textId="77777777" w:rsidR="00AD77EF" w:rsidRPr="00ED172B" w:rsidRDefault="00AD77EF">
      <w:pPr>
        <w:rPr>
          <w:b/>
          <w:color w:val="000000" w:themeColor="text1"/>
        </w:rPr>
      </w:pPr>
      <w:r w:rsidRPr="00ED172B">
        <w:rPr>
          <w:b/>
          <w:color w:val="000000" w:themeColor="text1"/>
        </w:rPr>
        <w:t>Instructions</w:t>
      </w:r>
    </w:p>
    <w:p w14:paraId="4A25CE25"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2762325E"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7D32FA37" w14:textId="77777777" w:rsidR="00AD77EF" w:rsidRPr="00ED172B" w:rsidRDefault="00AD77EF" w:rsidP="008E7B96">
      <w:pPr>
        <w:rPr>
          <w:color w:val="000000" w:themeColor="text1"/>
          <w:szCs w:val="16"/>
        </w:rPr>
      </w:pPr>
      <w:r w:rsidRPr="00ED172B">
        <w:rPr>
          <w:color w:val="000000" w:themeColor="text1"/>
          <w:szCs w:val="16"/>
        </w:rPr>
        <w:t xml:space="preserve">Indicators 8A and 8C: If data </w:t>
      </w:r>
      <w:proofErr w:type="gramStart"/>
      <w:r w:rsidRPr="00ED172B">
        <w:rPr>
          <w:color w:val="000000" w:themeColor="text1"/>
          <w:szCs w:val="16"/>
        </w:rPr>
        <w:t>are</w:t>
      </w:r>
      <w:proofErr w:type="gramEnd"/>
      <w:r w:rsidRPr="00ED172B">
        <w:rPr>
          <w:color w:val="000000" w:themeColor="text1"/>
          <w:szCs w:val="16"/>
        </w:rPr>
        <w:t xml:space="preserv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w:t>
      </w:r>
      <w:proofErr w:type="gramStart"/>
      <w:r w:rsidRPr="00ED172B">
        <w:rPr>
          <w:color w:val="000000" w:themeColor="text1"/>
          <w:szCs w:val="16"/>
        </w:rPr>
        <w:t>time period</w:t>
      </w:r>
      <w:proofErr w:type="gramEnd"/>
      <w:r w:rsidRPr="00ED172B">
        <w:rPr>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27B6076B" w14:textId="77777777" w:rsidR="00AD77EF" w:rsidRDefault="00AD77EF" w:rsidP="008E7B96">
      <w:pPr>
        <w:rPr>
          <w:color w:val="000000" w:themeColor="text1"/>
          <w:szCs w:val="16"/>
        </w:rPr>
      </w:pPr>
      <w:r w:rsidRPr="00ED172B">
        <w:rPr>
          <w:color w:val="000000" w:themeColor="text1"/>
          <w:szCs w:val="16"/>
        </w:rPr>
        <w:t xml:space="preserve">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0D475C08" w14:textId="77777777" w:rsidR="00955129" w:rsidRPr="00EC51AB" w:rsidRDefault="00955129" w:rsidP="008E7B96">
      <w:pPr>
        <w:rPr>
          <w:szCs w:val="16"/>
        </w:rPr>
      </w:pPr>
      <w:r w:rsidRPr="00EC51AB">
        <w:rPr>
          <w:szCs w:val="16"/>
        </w:rPr>
        <w:t xml:space="preserve">Indicator 8A: The measurement is intended to capture those children </w:t>
      </w:r>
      <w:proofErr w:type="gramStart"/>
      <w:r w:rsidRPr="00EC51AB">
        <w:rPr>
          <w:szCs w:val="16"/>
        </w:rPr>
        <w:t>exiting</w:t>
      </w:r>
      <w:proofErr w:type="gramEnd"/>
      <w:r w:rsidRPr="00EC51AB">
        <w:rPr>
          <w:szCs w:val="16"/>
        </w:rPr>
        <w:t xml:space="preserve">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05A24F50" w14:textId="77777777"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3EC97093" w14:textId="77777777"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50F0A04D" w14:textId="77777777"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3A428F34" w14:textId="77777777"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267C8094" w14:textId="77777777" w:rsidR="00A639B7"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115D7A92" w14:textId="77777777" w:rsidR="00294186" w:rsidRPr="00EC51AB" w:rsidRDefault="00C538B3" w:rsidP="008E7B96">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4A33ED7C" w14:textId="77777777" w:rsidR="00D30AF1" w:rsidRPr="00A40EE1" w:rsidRDefault="000D0117" w:rsidP="007B0787">
      <w:pPr>
        <w:pStyle w:val="Heading2"/>
      </w:pPr>
      <w:bookmarkStart w:id="45" w:name="_Toc386209669"/>
      <w:bookmarkEnd w:id="43"/>
      <w:r w:rsidRPr="00A40EE1">
        <w:t xml:space="preserve">8A - </w:t>
      </w:r>
      <w:r w:rsidR="00D30AF1" w:rsidRPr="00A40EE1">
        <w:t>Indicator</w:t>
      </w:r>
      <w:r w:rsidR="000C5918" w:rsidRPr="00A40EE1">
        <w:t xml:space="preserve"> Data</w:t>
      </w:r>
    </w:p>
    <w:bookmarkEnd w:id="45"/>
    <w:p w14:paraId="452A7B99" w14:textId="77777777"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2990"/>
        <w:gridCol w:w="875"/>
      </w:tblGrid>
      <w:tr w:rsidR="00C25621" w:rsidRPr="00ED172B" w14:paraId="7160D9C7" w14:textId="77777777" w:rsidTr="00A40EE1">
        <w:trPr>
          <w:trHeight w:val="350"/>
          <w:tblHeader/>
        </w:trPr>
        <w:tc>
          <w:tcPr>
            <w:tcW w:w="4185" w:type="pct"/>
            <w:tcBorders>
              <w:bottom w:val="single" w:sz="4" w:space="0" w:color="auto"/>
            </w:tcBorders>
            <w:vAlign w:val="center"/>
          </w:tcPr>
          <w:p w14:paraId="09D4765A"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vAlign w:val="center"/>
          </w:tcPr>
          <w:p w14:paraId="36CCFF09"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1F0983F5" w14:textId="77777777" w:rsidTr="00A40EE1">
        <w:trPr>
          <w:trHeight w:val="350"/>
        </w:trPr>
        <w:tc>
          <w:tcPr>
            <w:tcW w:w="4185" w:type="pct"/>
            <w:tcBorders>
              <w:bottom w:val="single" w:sz="4" w:space="0" w:color="auto"/>
            </w:tcBorders>
            <w:vAlign w:val="center"/>
          </w:tcPr>
          <w:p w14:paraId="2B8F9B82" w14:textId="77777777" w:rsidR="00C25621" w:rsidRPr="00ED172B" w:rsidRDefault="00C25621" w:rsidP="00C15786">
            <w:pPr>
              <w:jc w:val="center"/>
              <w:rPr>
                <w:b/>
                <w:color w:val="000000" w:themeColor="text1"/>
              </w:rPr>
            </w:pPr>
            <w:r w:rsidRPr="00ED172B">
              <w:rPr>
                <w:color w:val="000000" w:themeColor="text1"/>
              </w:rPr>
              <w:t>2023</w:t>
            </w:r>
          </w:p>
        </w:tc>
        <w:tc>
          <w:tcPr>
            <w:tcW w:w="815" w:type="pct"/>
            <w:vAlign w:val="center"/>
          </w:tcPr>
          <w:p w14:paraId="3F4D9993" w14:textId="77777777" w:rsidR="00C25621" w:rsidRPr="00ED172B" w:rsidRDefault="00C25621" w:rsidP="00C15786">
            <w:pPr>
              <w:jc w:val="center"/>
              <w:rPr>
                <w:color w:val="000000" w:themeColor="text1"/>
              </w:rPr>
            </w:pPr>
            <w:r w:rsidRPr="00ED172B">
              <w:rPr>
                <w:color w:val="000000" w:themeColor="text1"/>
              </w:rPr>
              <w:t>100.00%</w:t>
            </w:r>
          </w:p>
        </w:tc>
      </w:tr>
    </w:tbl>
    <w:p w14:paraId="4B180287"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684"/>
        <w:gridCol w:w="2022"/>
        <w:gridCol w:w="2022"/>
        <w:gridCol w:w="2022"/>
        <w:gridCol w:w="2022"/>
        <w:gridCol w:w="2018"/>
      </w:tblGrid>
      <w:tr w:rsidR="00ED172B" w:rsidRPr="00ED172B" w14:paraId="7D598DC9" w14:textId="77777777" w:rsidTr="00A40EE1">
        <w:trPr>
          <w:trHeight w:val="350"/>
        </w:trPr>
        <w:tc>
          <w:tcPr>
            <w:tcW w:w="317" w:type="pct"/>
            <w:tcBorders>
              <w:bottom w:val="single" w:sz="4" w:space="0" w:color="auto"/>
            </w:tcBorders>
          </w:tcPr>
          <w:p w14:paraId="7325DB8B"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0E644FEC"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395ABDEB"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6934A826"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2423BA75"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09B4EFA0"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6A2B7FAF" w14:textId="77777777" w:rsidTr="00A40EE1">
        <w:trPr>
          <w:trHeight w:val="357"/>
        </w:trPr>
        <w:tc>
          <w:tcPr>
            <w:tcW w:w="317" w:type="pct"/>
          </w:tcPr>
          <w:p w14:paraId="6FA14EDA"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1A5B04B2"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30CFF21D"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34880705"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61822567" w14:textId="77777777"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58E1D169" w14:textId="77777777"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703BF775" w14:textId="77777777" w:rsidTr="00A40EE1">
        <w:trPr>
          <w:trHeight w:val="85"/>
        </w:trPr>
        <w:tc>
          <w:tcPr>
            <w:tcW w:w="317" w:type="pct"/>
          </w:tcPr>
          <w:p w14:paraId="21CE54E9"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039C3D8C"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1BF1E19A"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29689E33"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2D89C86B"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19DA8C10"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479145CE" w14:textId="77777777" w:rsidR="008A4FF2" w:rsidRPr="00ED172B" w:rsidRDefault="008A4FF2">
      <w:pPr>
        <w:rPr>
          <w:b/>
          <w:color w:val="000000" w:themeColor="text1"/>
        </w:rPr>
      </w:pPr>
    </w:p>
    <w:p w14:paraId="2B2FC4E2" w14:textId="77777777"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2582"/>
        <w:gridCol w:w="2760"/>
      </w:tblGrid>
      <w:tr w:rsidR="00CF59E2" w:rsidRPr="00ED172B" w14:paraId="3866B852" w14:textId="77777777" w:rsidTr="00811738">
        <w:trPr>
          <w:trHeight w:val="259"/>
        </w:trPr>
        <w:tc>
          <w:tcPr>
            <w:tcW w:w="564" w:type="pct"/>
            <w:tcBorders>
              <w:bottom w:val="single" w:sz="4" w:space="0" w:color="auto"/>
            </w:tcBorders>
          </w:tcPr>
          <w:p w14:paraId="62A0CBCB" w14:textId="77777777" w:rsidR="00CF59E2" w:rsidRPr="00ED172B" w:rsidRDefault="00CF59E2" w:rsidP="00B268B5">
            <w:pPr>
              <w:jc w:val="center"/>
              <w:rPr>
                <w:b/>
                <w:color w:val="000000" w:themeColor="text1"/>
                <w:szCs w:val="16"/>
              </w:rPr>
            </w:pPr>
            <w:r w:rsidRPr="00ED172B">
              <w:rPr>
                <w:b/>
                <w:color w:val="000000" w:themeColor="text1"/>
                <w:szCs w:val="16"/>
              </w:rPr>
              <w:t>FFY</w:t>
            </w:r>
          </w:p>
        </w:tc>
        <w:tc>
          <w:tcPr>
            <w:tcW w:w="2144" w:type="pct"/>
            <w:vAlign w:val="center"/>
          </w:tcPr>
          <w:p w14:paraId="4DB725B4" w14:textId="77777777" w:rsidR="00CF59E2" w:rsidRPr="00ED172B" w:rsidRDefault="00CF59E2" w:rsidP="00B268B5">
            <w:pPr>
              <w:jc w:val="center"/>
              <w:rPr>
                <w:b/>
                <w:color w:val="000000" w:themeColor="text1"/>
                <w:szCs w:val="16"/>
              </w:rPr>
            </w:pPr>
            <w:r w:rsidRPr="00ED172B">
              <w:rPr>
                <w:rFonts w:cs="Arial"/>
                <w:b/>
                <w:color w:val="000000" w:themeColor="text1"/>
                <w:szCs w:val="16"/>
              </w:rPr>
              <w:t>2024</w:t>
            </w:r>
          </w:p>
        </w:tc>
        <w:tc>
          <w:tcPr>
            <w:tcW w:w="2292" w:type="pct"/>
          </w:tcPr>
          <w:p w14:paraId="062E4701" w14:textId="77777777" w:rsidR="00CF59E2" w:rsidRPr="00ED172B" w:rsidRDefault="00CF59E2" w:rsidP="00B268B5">
            <w:pPr>
              <w:jc w:val="center"/>
              <w:rPr>
                <w:rFonts w:cs="Arial"/>
                <w:b/>
                <w:color w:val="000000" w:themeColor="text1"/>
                <w:szCs w:val="16"/>
              </w:rPr>
            </w:pPr>
            <w:r>
              <w:rPr>
                <w:rFonts w:cs="Arial"/>
                <w:b/>
                <w:color w:val="000000" w:themeColor="text1"/>
                <w:szCs w:val="16"/>
              </w:rPr>
              <w:t>2025</w:t>
            </w:r>
          </w:p>
        </w:tc>
      </w:tr>
      <w:tr w:rsidR="00CF59E2" w:rsidRPr="00ED172B" w14:paraId="622E1F2A" w14:textId="77777777" w:rsidTr="00811738">
        <w:trPr>
          <w:trHeight w:val="264"/>
        </w:trPr>
        <w:tc>
          <w:tcPr>
            <w:tcW w:w="564" w:type="pct"/>
          </w:tcPr>
          <w:p w14:paraId="57B9FC27"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150B4042" w14:textId="77777777" w:rsidR="00CF59E2" w:rsidRPr="00ED172B" w:rsidRDefault="00CF59E2" w:rsidP="00B268B5">
            <w:pPr>
              <w:jc w:val="center"/>
              <w:rPr>
                <w:color w:val="000000" w:themeColor="text1"/>
                <w:szCs w:val="16"/>
              </w:rPr>
            </w:pPr>
            <w:r w:rsidRPr="00ED172B">
              <w:rPr>
                <w:color w:val="000000" w:themeColor="text1"/>
                <w:szCs w:val="16"/>
              </w:rPr>
              <w:t>100%</w:t>
            </w:r>
          </w:p>
        </w:tc>
        <w:tc>
          <w:tcPr>
            <w:tcW w:w="2292" w:type="pct"/>
          </w:tcPr>
          <w:p w14:paraId="6BACE084" w14:textId="77777777" w:rsidR="00CF59E2" w:rsidRPr="00ED172B" w:rsidRDefault="00CF59E2" w:rsidP="00B268B5">
            <w:pPr>
              <w:jc w:val="center"/>
              <w:rPr>
                <w:color w:val="000000" w:themeColor="text1"/>
                <w:szCs w:val="16"/>
              </w:rPr>
            </w:pPr>
            <w:r>
              <w:rPr>
                <w:rFonts w:cs="Arial"/>
                <w:color w:val="000000" w:themeColor="text1"/>
                <w:szCs w:val="16"/>
              </w:rPr>
              <w:t>100%</w:t>
            </w:r>
          </w:p>
        </w:tc>
      </w:tr>
    </w:tbl>
    <w:p w14:paraId="1E6E67CD" w14:textId="77777777" w:rsidR="00955129" w:rsidRDefault="00955129">
      <w:pPr>
        <w:rPr>
          <w:b/>
          <w:color w:val="000000" w:themeColor="text1"/>
        </w:rPr>
      </w:pPr>
    </w:p>
    <w:p w14:paraId="0C90D946" w14:textId="77777777" w:rsidR="008E7B96" w:rsidRPr="00ED172B" w:rsidRDefault="00F22D09">
      <w:pPr>
        <w:rPr>
          <w:b/>
          <w:color w:val="000000" w:themeColor="text1"/>
        </w:rPr>
      </w:pPr>
      <w:r>
        <w:rPr>
          <w:b/>
          <w:color w:val="000000" w:themeColor="text1"/>
        </w:rPr>
        <w:t>FFY 2024 SPP/APR Data</w:t>
      </w:r>
    </w:p>
    <w:p w14:paraId="2BEC15F1" w14:textId="77777777" w:rsidR="00E440C8" w:rsidRPr="00EC51AB" w:rsidRDefault="00E440C8">
      <w:pPr>
        <w:rPr>
          <w:rFonts w:cs="Arial"/>
          <w:bCs/>
          <w:color w:val="000000" w:themeColor="text1"/>
          <w:szCs w:val="16"/>
        </w:rPr>
      </w:pPr>
      <w:r w:rsidRPr="00EC51AB">
        <w:rPr>
          <w:rFonts w:cs="Arial"/>
          <w:bCs/>
          <w:color w:val="000000" w:themeColor="text1"/>
          <w:szCs w:val="16"/>
        </w:rPr>
        <w:t xml:space="preserve">Data </w:t>
      </w:r>
      <w:proofErr w:type="gramStart"/>
      <w:r w:rsidRPr="00EC51AB">
        <w:rPr>
          <w:rFonts w:cs="Arial"/>
          <w:bCs/>
          <w:color w:val="000000" w:themeColor="text1"/>
          <w:szCs w:val="16"/>
        </w:rPr>
        <w:t>include</w:t>
      </w:r>
      <w:proofErr w:type="gramEnd"/>
      <w:r w:rsidRPr="00EC51AB">
        <w:rPr>
          <w:rFonts w:cs="Arial"/>
          <w:bCs/>
          <w:color w:val="000000" w:themeColor="text1"/>
          <w:szCs w:val="16"/>
        </w:rPr>
        <w:t xml:space="preserve"> only those toddlers with disabilities exiting Part C at age 3 for whom the Lead Agency was required to develop an IFSP with transition steps and </w:t>
      </w:r>
      <w:proofErr w:type="gramStart"/>
      <w:r w:rsidRPr="00EC51AB">
        <w:rPr>
          <w:rFonts w:cs="Arial"/>
          <w:bCs/>
          <w:color w:val="000000" w:themeColor="text1"/>
          <w:szCs w:val="16"/>
        </w:rPr>
        <w:t>services</w:t>
      </w:r>
      <w:proofErr w:type="gramEnd"/>
      <w:r w:rsidRPr="00EC51AB">
        <w:rPr>
          <w:rFonts w:cs="Arial"/>
          <w:bCs/>
          <w:color w:val="000000" w:themeColor="text1"/>
          <w:szCs w:val="16"/>
        </w:rPr>
        <w:t xml:space="preserve"> at least 90 days, and at the discretion of all parties, not more than nine months, prior to the toddler’s third birthday. (yes/no)</w:t>
      </w:r>
    </w:p>
    <w:p w14:paraId="1B128B48" w14:textId="77777777"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1493E4B3" w14:textId="77777777" w:rsidTr="00986B99">
        <w:trPr>
          <w:trHeight w:val="359"/>
          <w:tblHeader/>
        </w:trPr>
        <w:tc>
          <w:tcPr>
            <w:tcW w:w="1292" w:type="pct"/>
            <w:vAlign w:val="bottom"/>
          </w:tcPr>
          <w:p w14:paraId="3175FCA2" w14:textId="77777777"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vAlign w:val="bottom"/>
          </w:tcPr>
          <w:p w14:paraId="1669A487" w14:textId="77777777"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vAlign w:val="bottom"/>
          </w:tcPr>
          <w:p w14:paraId="6DD98211" w14:textId="77777777" w:rsidR="00F939F8" w:rsidRPr="00ED172B" w:rsidRDefault="00CD74B5" w:rsidP="00F939F8">
            <w:pPr>
              <w:jc w:val="center"/>
              <w:rPr>
                <w:rFonts w:cs="Arial"/>
                <w:b/>
                <w:color w:val="000000" w:themeColor="text1"/>
                <w:szCs w:val="16"/>
              </w:rPr>
            </w:pPr>
            <w:r>
              <w:rPr>
                <w:rFonts w:cs="Arial"/>
                <w:b/>
                <w:color w:val="000000" w:themeColor="text1"/>
                <w:szCs w:val="16"/>
              </w:rPr>
              <w:t>FFY 2023 Data</w:t>
            </w:r>
          </w:p>
        </w:tc>
        <w:tc>
          <w:tcPr>
            <w:tcW w:w="542" w:type="pct"/>
            <w:vAlign w:val="bottom"/>
          </w:tcPr>
          <w:p w14:paraId="4C5FBAC4" w14:textId="77777777" w:rsidR="00F939F8" w:rsidRPr="00ED172B" w:rsidRDefault="00F22D09" w:rsidP="00F939F8">
            <w:pPr>
              <w:jc w:val="center"/>
              <w:rPr>
                <w:rFonts w:cs="Arial"/>
                <w:b/>
                <w:color w:val="000000" w:themeColor="text1"/>
                <w:szCs w:val="16"/>
              </w:rPr>
            </w:pPr>
            <w:r>
              <w:rPr>
                <w:rFonts w:cs="Arial"/>
                <w:b/>
                <w:color w:val="000000" w:themeColor="text1"/>
                <w:szCs w:val="16"/>
              </w:rPr>
              <w:t>FFY 2024 Target</w:t>
            </w:r>
          </w:p>
        </w:tc>
        <w:tc>
          <w:tcPr>
            <w:tcW w:w="584" w:type="pct"/>
            <w:vAlign w:val="bottom"/>
          </w:tcPr>
          <w:p w14:paraId="0F8CBCF5" w14:textId="77777777" w:rsidR="00F939F8" w:rsidRPr="00ED172B" w:rsidRDefault="00F22D09" w:rsidP="00F939F8">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2539CEFC" w14:textId="77777777"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vAlign w:val="bottom"/>
          </w:tcPr>
          <w:p w14:paraId="35C65411" w14:textId="77777777"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4224955F" w14:textId="77777777" w:rsidTr="00986B99">
        <w:trPr>
          <w:trHeight w:val="366"/>
        </w:trPr>
        <w:tc>
          <w:tcPr>
            <w:tcW w:w="1292" w:type="pct"/>
            <w:vAlign w:val="center"/>
          </w:tcPr>
          <w:p w14:paraId="08B95650"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3,492</w:t>
            </w:r>
          </w:p>
        </w:tc>
        <w:tc>
          <w:tcPr>
            <w:tcW w:w="875" w:type="pct"/>
            <w:vAlign w:val="center"/>
          </w:tcPr>
          <w:p w14:paraId="4930DFC7"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3,492</w:t>
            </w:r>
          </w:p>
        </w:tc>
        <w:tc>
          <w:tcPr>
            <w:tcW w:w="625" w:type="pct"/>
          </w:tcPr>
          <w:p w14:paraId="7305AF47"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100.00%</w:t>
            </w:r>
          </w:p>
        </w:tc>
        <w:tc>
          <w:tcPr>
            <w:tcW w:w="542" w:type="pct"/>
          </w:tcPr>
          <w:p w14:paraId="3C223CC4" w14:textId="77777777"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tcPr>
          <w:p w14:paraId="0881FC5B" w14:textId="77777777" w:rsidR="00F939F8" w:rsidRPr="00ED172B" w:rsidRDefault="00860830" w:rsidP="00F939F8">
            <w:pPr>
              <w:jc w:val="center"/>
              <w:rPr>
                <w:rFonts w:cs="Arial"/>
                <w:color w:val="000000" w:themeColor="text1"/>
                <w:szCs w:val="16"/>
              </w:rPr>
            </w:pPr>
            <w:r w:rsidRPr="00ED172B">
              <w:rPr>
                <w:rFonts w:cs="Arial"/>
                <w:color w:val="000000" w:themeColor="text1"/>
                <w:szCs w:val="16"/>
              </w:rPr>
              <w:t>100.00%</w:t>
            </w:r>
          </w:p>
        </w:tc>
        <w:tc>
          <w:tcPr>
            <w:tcW w:w="542" w:type="pct"/>
          </w:tcPr>
          <w:p w14:paraId="7DBAD7AB" w14:textId="77777777" w:rsidR="00F939F8" w:rsidRPr="00ED172B" w:rsidRDefault="00320806" w:rsidP="00320806">
            <w:pPr>
              <w:jc w:val="center"/>
              <w:rPr>
                <w:color w:val="000000" w:themeColor="text1"/>
              </w:rPr>
            </w:pPr>
            <w:r w:rsidRPr="00ED172B">
              <w:rPr>
                <w:color w:val="000000" w:themeColor="text1"/>
              </w:rPr>
              <w:t>Met target</w:t>
            </w:r>
          </w:p>
        </w:tc>
        <w:tc>
          <w:tcPr>
            <w:tcW w:w="539" w:type="pct"/>
          </w:tcPr>
          <w:p w14:paraId="03F0A633" w14:textId="77777777" w:rsidR="00F939F8" w:rsidRPr="00ED172B" w:rsidRDefault="00320806" w:rsidP="00320806">
            <w:pPr>
              <w:jc w:val="center"/>
              <w:rPr>
                <w:color w:val="000000" w:themeColor="text1"/>
              </w:rPr>
            </w:pPr>
            <w:r w:rsidRPr="00ED172B">
              <w:rPr>
                <w:color w:val="000000" w:themeColor="text1"/>
              </w:rPr>
              <w:t>No Slippage</w:t>
            </w:r>
          </w:p>
        </w:tc>
      </w:tr>
    </w:tbl>
    <w:p w14:paraId="108322C0" w14:textId="7777777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C51AB">
        <w:rPr>
          <w:rFonts w:cs="Arial"/>
          <w:bCs/>
          <w:color w:val="000000" w:themeColor="text1"/>
          <w:szCs w:val="16"/>
        </w:rPr>
        <w:t>This number will be added to the “Number of children exiting Part C who have an IFSP with transition steps and services” field to calculate the numerator for this indicator.</w:t>
      </w:r>
    </w:p>
    <w:p w14:paraId="11D8CCEF" w14:textId="77777777" w:rsidR="008901AF" w:rsidRDefault="008901AF" w:rsidP="005A1CA1">
      <w:pPr>
        <w:rPr>
          <w:rFonts w:cs="Arial"/>
          <w:color w:val="000000" w:themeColor="text1"/>
          <w:szCs w:val="16"/>
        </w:rPr>
      </w:pPr>
      <w:r w:rsidRPr="00ED172B">
        <w:rPr>
          <w:rFonts w:cs="Arial"/>
          <w:color w:val="000000" w:themeColor="text1"/>
          <w:szCs w:val="16"/>
        </w:rPr>
        <w:t>0</w:t>
      </w:r>
    </w:p>
    <w:p w14:paraId="453AB49B"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782F7898" w14:textId="77777777" w:rsidR="00C3454D" w:rsidRPr="00ED172B" w:rsidRDefault="00C3454D" w:rsidP="00C3454D">
      <w:pPr>
        <w:rPr>
          <w:rFonts w:cs="Arial"/>
          <w:color w:val="000000" w:themeColor="text1"/>
          <w:szCs w:val="16"/>
        </w:rPr>
      </w:pPr>
      <w:r w:rsidRPr="00ED172B">
        <w:rPr>
          <w:color w:val="000000" w:themeColor="text1"/>
          <w:szCs w:val="16"/>
        </w:rPr>
        <w:t xml:space="preserve">There were no delays for this indicator. </w:t>
      </w:r>
    </w:p>
    <w:p w14:paraId="50325AB3"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CE6C0E" w14:textId="77777777" w:rsidR="000709B9" w:rsidRDefault="00860830" w:rsidP="00B83404">
      <w:pPr>
        <w:rPr>
          <w:color w:val="000000" w:themeColor="text1"/>
        </w:rPr>
      </w:pPr>
      <w:r w:rsidRPr="00ED172B">
        <w:rPr>
          <w:color w:val="000000" w:themeColor="text1"/>
        </w:rPr>
        <w:t>State database</w:t>
      </w:r>
    </w:p>
    <w:p w14:paraId="28142590" w14:textId="77777777" w:rsidR="000709B9" w:rsidRPr="00ED172B" w:rsidRDefault="000709B9">
      <w:pPr>
        <w:rPr>
          <w:b/>
          <w:color w:val="000000" w:themeColor="text1"/>
        </w:rPr>
      </w:pPr>
      <w:r w:rsidRPr="00ED172B">
        <w:rPr>
          <w:b/>
          <w:color w:val="000000" w:themeColor="text1"/>
        </w:rPr>
        <w:t xml:space="preserve">Provide the </w:t>
      </w:r>
      <w:proofErr w:type="gramStart"/>
      <w:r w:rsidRPr="00ED172B">
        <w:rPr>
          <w:b/>
          <w:color w:val="000000" w:themeColor="text1"/>
        </w:rPr>
        <w:t>time period</w:t>
      </w:r>
      <w:proofErr w:type="gramEnd"/>
      <w:r w:rsidRPr="00ED172B">
        <w:rPr>
          <w:b/>
          <w:color w:val="000000" w:themeColor="text1"/>
        </w:rPr>
        <w:t xml:space="preserve"> in which the data were collected (e.g., September through December, fourth quarter, selection from the full reporting period). </w:t>
      </w:r>
    </w:p>
    <w:p w14:paraId="27F1BBF0" w14:textId="77777777" w:rsidR="000709B9" w:rsidRPr="00ED172B" w:rsidRDefault="00860830" w:rsidP="000709B9">
      <w:pPr>
        <w:rPr>
          <w:color w:val="000000" w:themeColor="text1"/>
        </w:rPr>
      </w:pPr>
      <w:r w:rsidRPr="00ED172B">
        <w:rPr>
          <w:color w:val="000000" w:themeColor="text1"/>
        </w:rPr>
        <w:t>July 1, 2024-June 30, 2025</w:t>
      </w:r>
    </w:p>
    <w:p w14:paraId="7FC3A99F" w14:textId="77777777" w:rsidR="000709B9" w:rsidRPr="00ED172B" w:rsidRDefault="000709B9">
      <w:pPr>
        <w:rPr>
          <w:b/>
          <w:color w:val="000000" w:themeColor="text1"/>
        </w:rPr>
      </w:pPr>
      <w:r w:rsidRPr="00ED172B">
        <w:rPr>
          <w:b/>
          <w:color w:val="000000" w:themeColor="text1"/>
        </w:rPr>
        <w:t xml:space="preserve">Describe how the data accurately </w:t>
      </w:r>
      <w:proofErr w:type="gramStart"/>
      <w:r w:rsidRPr="00ED172B">
        <w:rPr>
          <w:b/>
          <w:color w:val="000000" w:themeColor="text1"/>
        </w:rPr>
        <w:t>reflect</w:t>
      </w:r>
      <w:proofErr w:type="gramEnd"/>
      <w:r w:rsidRPr="00ED172B">
        <w:rPr>
          <w:b/>
          <w:color w:val="000000" w:themeColor="text1"/>
        </w:rPr>
        <w:t xml:space="preserve"> data for infants and toddlers with IFSPs for the full reporting period. </w:t>
      </w:r>
    </w:p>
    <w:p w14:paraId="104F24E3" w14:textId="77777777" w:rsidR="000709B9" w:rsidRDefault="00860830" w:rsidP="000709B9">
      <w:pPr>
        <w:rPr>
          <w:rFonts w:cs="Arial"/>
          <w:color w:val="000000" w:themeColor="text1"/>
          <w:szCs w:val="16"/>
        </w:rPr>
      </w:pPr>
      <w:r w:rsidRPr="00ED172B">
        <w:rPr>
          <w:rFonts w:cs="Arial"/>
          <w:color w:val="000000" w:themeColor="text1"/>
          <w:szCs w:val="16"/>
        </w:rPr>
        <w:t xml:space="preserve">The data includes all infants and toddlers </w:t>
      </w:r>
      <w:proofErr w:type="gramStart"/>
      <w:r w:rsidRPr="00ED172B">
        <w:rPr>
          <w:rFonts w:cs="Arial"/>
          <w:color w:val="000000" w:themeColor="text1"/>
          <w:szCs w:val="16"/>
        </w:rPr>
        <w:t>exiting</w:t>
      </w:r>
      <w:proofErr w:type="gramEnd"/>
      <w:r w:rsidRPr="00ED172B">
        <w:rPr>
          <w:rFonts w:cs="Arial"/>
          <w:color w:val="000000" w:themeColor="text1"/>
          <w:szCs w:val="16"/>
        </w:rPr>
        <w:t xml:space="preserve"> at age three in 2024-25 who were potentially eligible for Part B. Children who exited prior to reaching transition age, children who exited for specific reasons (e.g. moved out of state), and children who did not have IFSPs are excluded from the dataset. </w:t>
      </w:r>
    </w:p>
    <w:p w14:paraId="4746D023" w14:textId="77777777" w:rsidR="007876EE" w:rsidRDefault="007876EE"/>
    <w:p w14:paraId="02ABA6FC" w14:textId="77777777" w:rsidR="007876EE" w:rsidRDefault="00000000">
      <w:r>
        <w:rPr>
          <w:color w:val="000000"/>
        </w:rPr>
        <w:t>The Tennessee Early Intervention Data System (TEIDS) includes a validation feature that ensures every initial Individualized Family Service Plan (IFSP) contains a transition outcome/goal, including steps and services. This transition goal must be in place before an initial IFSP can be finalized in the child’s educational record. In FFY 2024-25, 100% of infants and toddlers exiting at age three had timely transition steps and services documented on their IFSPs.</w:t>
      </w:r>
    </w:p>
    <w:p w14:paraId="0E31C3FA" w14:textId="77777777" w:rsidR="007876EE" w:rsidRDefault="007876EE"/>
    <w:p w14:paraId="26380AAB" w14:textId="77777777" w:rsidR="007876EE" w:rsidRDefault="00000000">
      <w:r>
        <w:rPr>
          <w:color w:val="000000"/>
        </w:rPr>
        <w:t>Each IFSP includes a section titled Transition Information, which provides families with:</w:t>
      </w:r>
    </w:p>
    <w:p w14:paraId="4EFDF91E" w14:textId="77777777" w:rsidR="007876EE" w:rsidRDefault="00000000">
      <w:r>
        <w:rPr>
          <w:color w:val="000000"/>
        </w:rPr>
        <w:t>-The Transition Planning Conference due date</w:t>
      </w:r>
    </w:p>
    <w:p w14:paraId="004ADA2E" w14:textId="77777777" w:rsidR="007876EE" w:rsidRDefault="00000000">
      <w:r>
        <w:rPr>
          <w:color w:val="000000"/>
        </w:rPr>
        <w:t>-The deadline for submitting the LEA/SEA Notification Opt-Out Form (if the family chooses to opt out) and where to locate the form</w:t>
      </w:r>
    </w:p>
    <w:p w14:paraId="52A0C7DD" w14:textId="77777777" w:rsidR="007876EE" w:rsidRDefault="00000000">
      <w:r>
        <w:rPr>
          <w:color w:val="000000"/>
        </w:rPr>
        <w:t>-A link to the resource brochure: Steps for Success: A Practical Guide to Transition for Parents in Tennessee’s Early Intervention System</w:t>
      </w:r>
    </w:p>
    <w:p w14:paraId="7D20491E" w14:textId="77777777" w:rsidR="007876EE" w:rsidRDefault="007876EE"/>
    <w:p w14:paraId="5AA1F856" w14:textId="77777777" w:rsidR="007876EE" w:rsidRDefault="00000000">
      <w:r>
        <w:rPr>
          <w:color w:val="000000"/>
        </w:rPr>
        <w:t>The transition goal is reviewed and updated at subsequent IFSP meetings as needed, particularly as the child approaches the age of transition. Notes from the LEA Transition Planning Conference are added to the IFSP to document decisions, actions, and next steps.</w:t>
      </w:r>
    </w:p>
    <w:p w14:paraId="12C0DF93"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0C4DC633" w14:textId="77777777" w:rsidR="003A3693" w:rsidRPr="00ED172B" w:rsidRDefault="003A3693" w:rsidP="003A3693">
      <w:pPr>
        <w:rPr>
          <w:rFonts w:cs="Arial"/>
          <w:color w:val="000000" w:themeColor="text1"/>
          <w:szCs w:val="16"/>
        </w:rPr>
      </w:pPr>
    </w:p>
    <w:p w14:paraId="1EB9440F" w14:textId="77777777" w:rsidR="00E61C4B" w:rsidRPr="00510A22" w:rsidRDefault="00E61C4B" w:rsidP="00E61C4B">
      <w:pPr>
        <w:rPr>
          <w:color w:val="00B0F0"/>
        </w:rPr>
      </w:pPr>
      <w:r w:rsidRPr="00510A22">
        <w:rPr>
          <w:color w:val="00B0F0"/>
        </w:rPr>
        <w:t xml:space="preserve"> </w:t>
      </w:r>
    </w:p>
    <w:p w14:paraId="4474A966" w14:textId="77777777"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APFFYNCFINDINGS"/>
      </w:tblPr>
      <w:tblGrid>
        <w:gridCol w:w="2610"/>
        <w:gridCol w:w="2741"/>
        <w:gridCol w:w="2618"/>
        <w:gridCol w:w="2821"/>
      </w:tblGrid>
      <w:tr w:rsidR="00ED172B" w:rsidRPr="00ED172B" w14:paraId="5F352A53" w14:textId="77777777" w:rsidTr="00986B99">
        <w:trPr>
          <w:trHeight w:val="389"/>
          <w:tblHeader/>
        </w:trPr>
        <w:tc>
          <w:tcPr>
            <w:tcW w:w="1210" w:type="pct"/>
            <w:vAlign w:val="bottom"/>
          </w:tcPr>
          <w:p w14:paraId="4A937F80"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vAlign w:val="bottom"/>
          </w:tcPr>
          <w:p w14:paraId="178F3C5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6D0AFCE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5995B45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045323F" w14:textId="77777777" w:rsidTr="00986B99">
        <w:tc>
          <w:tcPr>
            <w:tcW w:w="1210" w:type="pct"/>
          </w:tcPr>
          <w:p w14:paraId="15A5AA7D" w14:textId="77777777" w:rsidR="008203B4" w:rsidRPr="00ED172B" w:rsidRDefault="008203B4" w:rsidP="00ED172B">
            <w:pPr>
              <w:jc w:val="center"/>
              <w:rPr>
                <w:rFonts w:cs="Arial"/>
                <w:color w:val="000000" w:themeColor="text1"/>
                <w:szCs w:val="16"/>
              </w:rPr>
            </w:pPr>
          </w:p>
        </w:tc>
        <w:tc>
          <w:tcPr>
            <w:tcW w:w="1270" w:type="pct"/>
          </w:tcPr>
          <w:p w14:paraId="0F8A4C50" w14:textId="77777777" w:rsidR="008203B4" w:rsidRPr="00ED172B" w:rsidRDefault="008203B4" w:rsidP="00ED172B">
            <w:pPr>
              <w:jc w:val="center"/>
              <w:rPr>
                <w:rFonts w:cs="Arial"/>
                <w:color w:val="000000" w:themeColor="text1"/>
                <w:szCs w:val="16"/>
              </w:rPr>
            </w:pPr>
          </w:p>
        </w:tc>
        <w:tc>
          <w:tcPr>
            <w:tcW w:w="1213" w:type="pct"/>
          </w:tcPr>
          <w:p w14:paraId="479E56CE" w14:textId="77777777" w:rsidR="008203B4" w:rsidRPr="00ED172B" w:rsidRDefault="008203B4" w:rsidP="00ED172B">
            <w:pPr>
              <w:jc w:val="center"/>
              <w:rPr>
                <w:rFonts w:cs="Arial"/>
                <w:color w:val="000000" w:themeColor="text1"/>
                <w:szCs w:val="16"/>
              </w:rPr>
            </w:pPr>
          </w:p>
        </w:tc>
        <w:tc>
          <w:tcPr>
            <w:tcW w:w="1308" w:type="pct"/>
          </w:tcPr>
          <w:p w14:paraId="2074EA17" w14:textId="77777777" w:rsidR="008203B4" w:rsidRPr="00ED172B" w:rsidRDefault="008203B4" w:rsidP="00EC51AB">
            <w:pPr>
              <w:jc w:val="center"/>
              <w:rPr>
                <w:rFonts w:cs="Arial"/>
                <w:color w:val="000000" w:themeColor="text1"/>
                <w:szCs w:val="16"/>
              </w:rPr>
            </w:pPr>
          </w:p>
        </w:tc>
      </w:tr>
    </w:tbl>
    <w:p w14:paraId="39A57613"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1BAF92EB" w14:textId="77777777" w:rsidR="00416EBD" w:rsidRDefault="00416EBD" w:rsidP="00416EBD">
      <w:pPr>
        <w:rPr>
          <w:color w:val="00B0F0"/>
        </w:rPr>
      </w:pPr>
    </w:p>
    <w:p w14:paraId="39A3F6F2" w14:textId="77777777" w:rsidR="008203B4" w:rsidRPr="00ED172B" w:rsidRDefault="008203B4" w:rsidP="00416EBD">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11A24F48" w14:textId="77777777" w:rsidTr="00986B99">
        <w:trPr>
          <w:tblHeader/>
        </w:trPr>
        <w:tc>
          <w:tcPr>
            <w:tcW w:w="929" w:type="pct"/>
            <w:vAlign w:val="bottom"/>
          </w:tcPr>
          <w:p w14:paraId="624576E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lastRenderedPageBreak/>
              <w:t>Year Findings of Noncompliance Were Identified</w:t>
            </w:r>
          </w:p>
        </w:tc>
        <w:tc>
          <w:tcPr>
            <w:tcW w:w="1388" w:type="pct"/>
            <w:vAlign w:val="bottom"/>
          </w:tcPr>
          <w:p w14:paraId="1DEE95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3" w:type="pct"/>
            <w:vAlign w:val="bottom"/>
          </w:tcPr>
          <w:p w14:paraId="64DE518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vAlign w:val="bottom"/>
          </w:tcPr>
          <w:p w14:paraId="3FEA113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BC26F03" w14:textId="77777777" w:rsidTr="00986B99">
        <w:tc>
          <w:tcPr>
            <w:tcW w:w="929" w:type="pct"/>
          </w:tcPr>
          <w:p w14:paraId="1AC845C4" w14:textId="77777777" w:rsidR="008203B4" w:rsidRPr="00ED172B" w:rsidRDefault="008203B4" w:rsidP="00D21F29">
            <w:pPr>
              <w:jc w:val="center"/>
              <w:rPr>
                <w:rFonts w:cs="Arial"/>
                <w:color w:val="000000" w:themeColor="text1"/>
                <w:szCs w:val="16"/>
              </w:rPr>
            </w:pPr>
          </w:p>
        </w:tc>
        <w:tc>
          <w:tcPr>
            <w:tcW w:w="1388" w:type="pct"/>
          </w:tcPr>
          <w:p w14:paraId="1029240F" w14:textId="77777777" w:rsidR="008203B4" w:rsidRPr="00ED172B" w:rsidRDefault="008203B4" w:rsidP="00CD79C5">
            <w:pPr>
              <w:jc w:val="center"/>
              <w:rPr>
                <w:rFonts w:cs="Arial"/>
                <w:noProof/>
                <w:color w:val="000000" w:themeColor="text1"/>
                <w:szCs w:val="16"/>
              </w:rPr>
            </w:pPr>
          </w:p>
        </w:tc>
        <w:tc>
          <w:tcPr>
            <w:tcW w:w="1383" w:type="pct"/>
          </w:tcPr>
          <w:p w14:paraId="1558FB3D" w14:textId="77777777" w:rsidR="008203B4" w:rsidRPr="00ED172B" w:rsidRDefault="008203B4" w:rsidP="00CD79C5">
            <w:pPr>
              <w:jc w:val="center"/>
              <w:rPr>
                <w:rFonts w:cs="Arial"/>
                <w:noProof/>
                <w:color w:val="000000" w:themeColor="text1"/>
                <w:szCs w:val="16"/>
              </w:rPr>
            </w:pPr>
          </w:p>
        </w:tc>
        <w:tc>
          <w:tcPr>
            <w:tcW w:w="1300" w:type="pct"/>
          </w:tcPr>
          <w:p w14:paraId="11AB17F3" w14:textId="77777777" w:rsidR="008203B4" w:rsidRPr="00ED172B" w:rsidRDefault="008203B4" w:rsidP="00CD79C5">
            <w:pPr>
              <w:jc w:val="center"/>
              <w:rPr>
                <w:rFonts w:cs="Arial"/>
                <w:noProof/>
                <w:color w:val="000000" w:themeColor="text1"/>
                <w:szCs w:val="16"/>
              </w:rPr>
            </w:pPr>
          </w:p>
        </w:tc>
      </w:tr>
      <w:tr w:rsidR="00ED172B" w:rsidRPr="00ED172B" w14:paraId="415381D8" w14:textId="77777777" w:rsidTr="00986B99">
        <w:tc>
          <w:tcPr>
            <w:tcW w:w="929" w:type="pct"/>
          </w:tcPr>
          <w:p w14:paraId="1D29A69A" w14:textId="77777777" w:rsidR="008203B4" w:rsidRPr="00ED172B" w:rsidRDefault="008203B4" w:rsidP="00D21F29">
            <w:pPr>
              <w:jc w:val="center"/>
              <w:rPr>
                <w:rFonts w:cs="Arial"/>
                <w:color w:val="000000" w:themeColor="text1"/>
                <w:szCs w:val="16"/>
              </w:rPr>
            </w:pPr>
          </w:p>
        </w:tc>
        <w:tc>
          <w:tcPr>
            <w:tcW w:w="1388" w:type="pct"/>
          </w:tcPr>
          <w:p w14:paraId="61E9139F" w14:textId="77777777" w:rsidR="008203B4" w:rsidRPr="00ED172B" w:rsidRDefault="008203B4" w:rsidP="00CD79C5">
            <w:pPr>
              <w:jc w:val="center"/>
              <w:rPr>
                <w:rFonts w:cs="Arial"/>
                <w:noProof/>
                <w:color w:val="000000" w:themeColor="text1"/>
                <w:szCs w:val="16"/>
              </w:rPr>
            </w:pPr>
          </w:p>
        </w:tc>
        <w:tc>
          <w:tcPr>
            <w:tcW w:w="1383" w:type="pct"/>
          </w:tcPr>
          <w:p w14:paraId="45A2A503" w14:textId="77777777" w:rsidR="008203B4" w:rsidRPr="00ED172B" w:rsidRDefault="008203B4" w:rsidP="00CD79C5">
            <w:pPr>
              <w:jc w:val="center"/>
              <w:rPr>
                <w:rFonts w:cs="Arial"/>
                <w:noProof/>
                <w:color w:val="000000" w:themeColor="text1"/>
                <w:szCs w:val="16"/>
              </w:rPr>
            </w:pPr>
          </w:p>
        </w:tc>
        <w:tc>
          <w:tcPr>
            <w:tcW w:w="1300" w:type="pct"/>
          </w:tcPr>
          <w:p w14:paraId="0BA12D4C" w14:textId="77777777" w:rsidR="008203B4" w:rsidRPr="00ED172B" w:rsidRDefault="008203B4" w:rsidP="00CD79C5">
            <w:pPr>
              <w:jc w:val="center"/>
              <w:rPr>
                <w:rFonts w:cs="Arial"/>
                <w:noProof/>
                <w:color w:val="000000" w:themeColor="text1"/>
                <w:szCs w:val="16"/>
              </w:rPr>
            </w:pPr>
          </w:p>
        </w:tc>
      </w:tr>
      <w:tr w:rsidR="00ED172B" w:rsidRPr="00ED172B" w14:paraId="698AD232" w14:textId="77777777" w:rsidTr="00986B99">
        <w:tc>
          <w:tcPr>
            <w:tcW w:w="929" w:type="pct"/>
          </w:tcPr>
          <w:p w14:paraId="3BA90F04" w14:textId="77777777" w:rsidR="008203B4" w:rsidRPr="00ED172B" w:rsidRDefault="008203B4" w:rsidP="00D21F29">
            <w:pPr>
              <w:jc w:val="center"/>
              <w:rPr>
                <w:rFonts w:cs="Arial"/>
                <w:color w:val="000000" w:themeColor="text1"/>
                <w:szCs w:val="16"/>
              </w:rPr>
            </w:pPr>
          </w:p>
        </w:tc>
        <w:tc>
          <w:tcPr>
            <w:tcW w:w="1388" w:type="pct"/>
          </w:tcPr>
          <w:p w14:paraId="5FB1D43C" w14:textId="77777777" w:rsidR="008203B4" w:rsidRPr="00ED172B" w:rsidRDefault="008203B4" w:rsidP="00CD79C5">
            <w:pPr>
              <w:jc w:val="center"/>
              <w:rPr>
                <w:rFonts w:cs="Arial"/>
                <w:noProof/>
                <w:color w:val="000000" w:themeColor="text1"/>
                <w:szCs w:val="16"/>
              </w:rPr>
            </w:pPr>
          </w:p>
        </w:tc>
        <w:tc>
          <w:tcPr>
            <w:tcW w:w="1383" w:type="pct"/>
          </w:tcPr>
          <w:p w14:paraId="4427DC16" w14:textId="77777777" w:rsidR="008203B4" w:rsidRPr="00ED172B" w:rsidRDefault="008203B4" w:rsidP="00CD79C5">
            <w:pPr>
              <w:jc w:val="center"/>
              <w:rPr>
                <w:rFonts w:cs="Arial"/>
                <w:noProof/>
                <w:color w:val="000000" w:themeColor="text1"/>
                <w:szCs w:val="16"/>
              </w:rPr>
            </w:pPr>
          </w:p>
        </w:tc>
        <w:tc>
          <w:tcPr>
            <w:tcW w:w="1300" w:type="pct"/>
          </w:tcPr>
          <w:p w14:paraId="48330D1C" w14:textId="77777777" w:rsidR="008203B4" w:rsidRPr="00ED172B" w:rsidRDefault="008203B4" w:rsidP="00CD79C5">
            <w:pPr>
              <w:jc w:val="center"/>
              <w:rPr>
                <w:rFonts w:cs="Arial"/>
                <w:noProof/>
                <w:color w:val="000000" w:themeColor="text1"/>
                <w:szCs w:val="16"/>
              </w:rPr>
            </w:pPr>
          </w:p>
        </w:tc>
      </w:tr>
      <w:tr w:rsidR="003567DA" w:rsidRPr="00ED172B" w14:paraId="6CDA8C50" w14:textId="77777777" w:rsidTr="00986B99">
        <w:tc>
          <w:tcPr>
            <w:tcW w:w="929" w:type="pct"/>
          </w:tcPr>
          <w:p w14:paraId="0DAEBF01" w14:textId="77777777" w:rsidR="003567DA" w:rsidRPr="00ED172B" w:rsidRDefault="003567DA" w:rsidP="00D21F29">
            <w:pPr>
              <w:jc w:val="center"/>
              <w:rPr>
                <w:rFonts w:cs="Arial"/>
                <w:color w:val="000000" w:themeColor="text1"/>
                <w:szCs w:val="16"/>
              </w:rPr>
            </w:pPr>
          </w:p>
        </w:tc>
        <w:tc>
          <w:tcPr>
            <w:tcW w:w="1388" w:type="pct"/>
          </w:tcPr>
          <w:p w14:paraId="03E23FFD" w14:textId="77777777" w:rsidR="003567DA" w:rsidRPr="00ED172B" w:rsidRDefault="003567DA" w:rsidP="003567DA">
            <w:pPr>
              <w:jc w:val="center"/>
              <w:rPr>
                <w:rFonts w:cs="Arial"/>
                <w:color w:val="000000" w:themeColor="text1"/>
                <w:szCs w:val="16"/>
              </w:rPr>
            </w:pPr>
          </w:p>
        </w:tc>
        <w:tc>
          <w:tcPr>
            <w:tcW w:w="1383" w:type="pct"/>
          </w:tcPr>
          <w:p w14:paraId="19BD9059" w14:textId="77777777" w:rsidR="003567DA" w:rsidRPr="00ED172B" w:rsidRDefault="003567DA" w:rsidP="003567DA">
            <w:pPr>
              <w:jc w:val="center"/>
              <w:rPr>
                <w:rFonts w:cs="Arial"/>
                <w:color w:val="000000" w:themeColor="text1"/>
                <w:szCs w:val="16"/>
              </w:rPr>
            </w:pPr>
          </w:p>
        </w:tc>
        <w:tc>
          <w:tcPr>
            <w:tcW w:w="1300" w:type="pct"/>
          </w:tcPr>
          <w:p w14:paraId="18576C18" w14:textId="77777777" w:rsidR="003567DA" w:rsidRPr="00ED172B" w:rsidRDefault="003567DA" w:rsidP="003567DA">
            <w:pPr>
              <w:jc w:val="center"/>
              <w:rPr>
                <w:rFonts w:cs="Arial"/>
                <w:color w:val="000000" w:themeColor="text1"/>
                <w:szCs w:val="16"/>
              </w:rPr>
            </w:pPr>
          </w:p>
        </w:tc>
      </w:tr>
      <w:tr w:rsidR="003567DA" w:rsidRPr="00ED172B" w14:paraId="74F1736C" w14:textId="77777777" w:rsidTr="00986B99">
        <w:tc>
          <w:tcPr>
            <w:tcW w:w="929" w:type="pct"/>
          </w:tcPr>
          <w:p w14:paraId="1745D0BA" w14:textId="77777777" w:rsidR="003567DA" w:rsidRPr="00ED172B" w:rsidRDefault="003567DA" w:rsidP="00D21F29">
            <w:pPr>
              <w:jc w:val="center"/>
              <w:rPr>
                <w:rFonts w:cs="Arial"/>
                <w:color w:val="000000" w:themeColor="text1"/>
                <w:szCs w:val="16"/>
              </w:rPr>
            </w:pPr>
          </w:p>
        </w:tc>
        <w:tc>
          <w:tcPr>
            <w:tcW w:w="1388" w:type="pct"/>
          </w:tcPr>
          <w:p w14:paraId="6C652631" w14:textId="77777777" w:rsidR="003567DA" w:rsidRPr="00ED172B" w:rsidRDefault="003567DA" w:rsidP="003567DA">
            <w:pPr>
              <w:jc w:val="center"/>
              <w:rPr>
                <w:rFonts w:cs="Arial"/>
                <w:color w:val="000000" w:themeColor="text1"/>
                <w:szCs w:val="16"/>
              </w:rPr>
            </w:pPr>
          </w:p>
        </w:tc>
        <w:tc>
          <w:tcPr>
            <w:tcW w:w="1383" w:type="pct"/>
          </w:tcPr>
          <w:p w14:paraId="7F770F99" w14:textId="77777777" w:rsidR="003567DA" w:rsidRPr="00ED172B" w:rsidRDefault="003567DA" w:rsidP="003567DA">
            <w:pPr>
              <w:jc w:val="center"/>
              <w:rPr>
                <w:rFonts w:cs="Arial"/>
                <w:color w:val="000000" w:themeColor="text1"/>
                <w:szCs w:val="16"/>
              </w:rPr>
            </w:pPr>
          </w:p>
        </w:tc>
        <w:tc>
          <w:tcPr>
            <w:tcW w:w="1300" w:type="pct"/>
          </w:tcPr>
          <w:p w14:paraId="159E4CB5" w14:textId="77777777" w:rsidR="003567DA" w:rsidRPr="00ED172B" w:rsidRDefault="003567DA" w:rsidP="003567DA">
            <w:pPr>
              <w:jc w:val="center"/>
              <w:rPr>
                <w:rFonts w:cs="Arial"/>
                <w:color w:val="000000" w:themeColor="text1"/>
                <w:szCs w:val="16"/>
              </w:rPr>
            </w:pPr>
          </w:p>
        </w:tc>
      </w:tr>
    </w:tbl>
    <w:p w14:paraId="6DE5F4DC" w14:textId="77777777" w:rsidR="008203B4" w:rsidRPr="00A40EE1" w:rsidRDefault="000D0117" w:rsidP="007B0787">
      <w:pPr>
        <w:pStyle w:val="Heading2"/>
      </w:pPr>
      <w:r w:rsidRPr="00A40EE1">
        <w:t xml:space="preserve">8A - </w:t>
      </w:r>
      <w:r w:rsidR="008203B4" w:rsidRPr="00A40EE1">
        <w:t>Prior FFY Required Actions</w:t>
      </w:r>
    </w:p>
    <w:p w14:paraId="29EF9B3A" w14:textId="77777777" w:rsidR="004C1CEE" w:rsidRPr="00ED172B" w:rsidRDefault="00320806" w:rsidP="008203B4">
      <w:pPr>
        <w:rPr>
          <w:rFonts w:cs="Arial"/>
          <w:color w:val="000000" w:themeColor="text1"/>
          <w:szCs w:val="16"/>
        </w:rPr>
      </w:pPr>
      <w:r w:rsidRPr="00ED172B">
        <w:rPr>
          <w:color w:val="000000" w:themeColor="text1"/>
        </w:rPr>
        <w:t>None</w:t>
      </w:r>
    </w:p>
    <w:p w14:paraId="6822CAEC" w14:textId="77777777" w:rsidR="008203B4" w:rsidRPr="00A40EE1" w:rsidRDefault="000D0117" w:rsidP="007B0787">
      <w:pPr>
        <w:pStyle w:val="Heading2"/>
      </w:pPr>
      <w:r w:rsidRPr="00A40EE1">
        <w:t xml:space="preserve">8A - </w:t>
      </w:r>
      <w:r w:rsidR="008203B4" w:rsidRPr="00A40EE1">
        <w:t>OSEP Response</w:t>
      </w:r>
    </w:p>
    <w:p w14:paraId="19CFAB2F" w14:textId="77777777" w:rsidR="008203B4" w:rsidRPr="00ED172B" w:rsidRDefault="008203B4" w:rsidP="00320806">
      <w:pPr>
        <w:rPr>
          <w:color w:val="000000" w:themeColor="text1"/>
        </w:rPr>
      </w:pPr>
    </w:p>
    <w:p w14:paraId="4EE6EFAF" w14:textId="77777777" w:rsidR="008203B4" w:rsidRPr="00A40EE1" w:rsidRDefault="000D0117" w:rsidP="007B0787">
      <w:pPr>
        <w:pStyle w:val="Heading2"/>
      </w:pPr>
      <w:r w:rsidRPr="00A40EE1">
        <w:t xml:space="preserve">8A - </w:t>
      </w:r>
      <w:r w:rsidR="008203B4" w:rsidRPr="00A40EE1">
        <w:t>Required Actions</w:t>
      </w:r>
    </w:p>
    <w:p w14:paraId="0C85DC9A" w14:textId="77777777" w:rsidR="008203B4" w:rsidRPr="00ED172B" w:rsidRDefault="008203B4" w:rsidP="00320806">
      <w:pPr>
        <w:rPr>
          <w:color w:val="000000" w:themeColor="text1"/>
        </w:rPr>
      </w:pPr>
    </w:p>
    <w:p w14:paraId="066CB320"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1320886D" w14:textId="77777777"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621E811B"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474BDBE6" w14:textId="77777777"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443FE065"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The percentage of toddlers with disabilities </w:t>
      </w:r>
      <w:proofErr w:type="gramStart"/>
      <w:r w:rsidRPr="00ED172B">
        <w:rPr>
          <w:color w:val="000000" w:themeColor="text1"/>
          <w:szCs w:val="16"/>
        </w:rPr>
        <w:t>exiting</w:t>
      </w:r>
      <w:proofErr w:type="gramEnd"/>
      <w:r w:rsidRPr="00ED172B">
        <w:rPr>
          <w:color w:val="000000" w:themeColor="text1"/>
          <w:szCs w:val="16"/>
        </w:rPr>
        <w:t xml:space="preserve"> Part C with timely transition planning for whom the Lead Agency has:</w:t>
      </w:r>
    </w:p>
    <w:p w14:paraId="6190545D" w14:textId="77777777" w:rsidR="00D77E41" w:rsidRPr="00ED172B" w:rsidRDefault="007F55E8" w:rsidP="00ED172B">
      <w:pPr>
        <w:ind w:left="360"/>
        <w:rPr>
          <w:color w:val="000000" w:themeColor="text1"/>
          <w:szCs w:val="16"/>
        </w:rPr>
      </w:pPr>
      <w:r w:rsidRPr="00ED172B">
        <w:rPr>
          <w:color w:val="000000" w:themeColor="text1"/>
          <w:szCs w:val="16"/>
        </w:rPr>
        <w:t xml:space="preserve">A. Developed an IFSP with transition steps and services at least 90 days, and at the discretion of all parties, not more than nine months, prior to the toddler’s third </w:t>
      </w:r>
      <w:proofErr w:type="gramStart"/>
      <w:r w:rsidRPr="00ED172B">
        <w:rPr>
          <w:color w:val="000000" w:themeColor="text1"/>
          <w:szCs w:val="16"/>
        </w:rPr>
        <w:t>birthday;</w:t>
      </w:r>
      <w:proofErr w:type="gramEnd"/>
    </w:p>
    <w:p w14:paraId="79014D2C" w14:textId="77777777"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41FA8593" w14:textId="77777777" w:rsidR="00D77E41" w:rsidRPr="00ED172B" w:rsidRDefault="007F55E8" w:rsidP="00ED172B">
      <w:pPr>
        <w:ind w:left="360"/>
        <w:rPr>
          <w:color w:val="000000" w:themeColor="text1"/>
          <w:szCs w:val="16"/>
        </w:rPr>
      </w:pPr>
      <w:r w:rsidRPr="00ED172B">
        <w:rPr>
          <w:color w:val="000000" w:themeColor="text1"/>
          <w:szCs w:val="16"/>
        </w:rPr>
        <w:t xml:space="preserve">C. Conducted the transition conference held with the approval of the </w:t>
      </w:r>
      <w:proofErr w:type="gramStart"/>
      <w:r w:rsidRPr="00ED172B">
        <w:rPr>
          <w:color w:val="000000" w:themeColor="text1"/>
          <w:szCs w:val="16"/>
        </w:rPr>
        <w:t>family</w:t>
      </w:r>
      <w:proofErr w:type="gramEnd"/>
      <w:r w:rsidRPr="00ED172B">
        <w:rPr>
          <w:color w:val="000000" w:themeColor="text1"/>
          <w:szCs w:val="16"/>
        </w:rPr>
        <w:t xml:space="preserve"> at least 90 days, and at the discretion of all parties, not more than nine months, prior to the toddler’s third birthday for toddlers potentially eligible for Part B preschool services.</w:t>
      </w:r>
    </w:p>
    <w:p w14:paraId="42E324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1EEEDE83" w14:textId="77777777" w:rsidR="00D77E41" w:rsidRPr="00ED172B" w:rsidRDefault="00D77E41">
      <w:pPr>
        <w:rPr>
          <w:b/>
          <w:color w:val="000000" w:themeColor="text1"/>
        </w:rPr>
      </w:pPr>
      <w:r w:rsidRPr="00ED172B">
        <w:rPr>
          <w:b/>
          <w:color w:val="000000" w:themeColor="text1"/>
        </w:rPr>
        <w:t>Data Source</w:t>
      </w:r>
    </w:p>
    <w:p w14:paraId="4CDB021C"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08ECC0B2" w14:textId="77777777" w:rsidR="00D77E41" w:rsidRPr="00ED172B" w:rsidRDefault="00D77E41">
      <w:pPr>
        <w:rPr>
          <w:b/>
          <w:color w:val="000000" w:themeColor="text1"/>
        </w:rPr>
      </w:pPr>
      <w:r w:rsidRPr="00ED172B">
        <w:rPr>
          <w:b/>
          <w:color w:val="000000" w:themeColor="text1"/>
        </w:rPr>
        <w:t>Measurement</w:t>
      </w:r>
    </w:p>
    <w:p w14:paraId="7DA91BF1" w14:textId="77777777" w:rsidR="00D77E41" w:rsidRPr="00ED172B" w:rsidRDefault="007F55E8" w:rsidP="00ED172B">
      <w:pPr>
        <w:ind w:left="360"/>
        <w:rPr>
          <w:color w:val="000000" w:themeColor="text1"/>
          <w:szCs w:val="16"/>
        </w:rPr>
      </w:pPr>
      <w:r w:rsidRPr="00ED172B">
        <w:rPr>
          <w:color w:val="000000" w:themeColor="text1"/>
          <w:szCs w:val="16"/>
        </w:rPr>
        <w:t xml:space="preserve">A. Percent = </w:t>
      </w:r>
      <w:proofErr w:type="gramStart"/>
      <w:r w:rsidRPr="00ED172B">
        <w:rPr>
          <w:color w:val="000000" w:themeColor="text1"/>
          <w:szCs w:val="16"/>
        </w:rPr>
        <w:t xml:space="preserve">[(# </w:t>
      </w:r>
      <w:proofErr w:type="gramEnd"/>
      <w:r w:rsidRPr="00ED172B">
        <w:rPr>
          <w:color w:val="000000" w:themeColor="text1"/>
          <w:szCs w:val="16"/>
        </w:rPr>
        <w:t xml:space="preserve">of toddlers with disabilities exiting Part C at age 3 who have an IFSP with transition steps and services at least 90 days, and at the discretion of all parties not more than nine months, prior to their third birthday) divided by </w:t>
      </w:r>
      <w:proofErr w:type="gramStart"/>
      <w:r w:rsidRPr="00ED172B">
        <w:rPr>
          <w:color w:val="000000" w:themeColor="text1"/>
          <w:szCs w:val="16"/>
        </w:rPr>
        <w:t xml:space="preserve">the (# </w:t>
      </w:r>
      <w:proofErr w:type="gramEnd"/>
      <w:r w:rsidRPr="00ED172B">
        <w:rPr>
          <w:color w:val="000000" w:themeColor="text1"/>
          <w:szCs w:val="16"/>
        </w:rPr>
        <w:t>of toddlers with disabilities exiting Part C at age 3)] times 100.</w:t>
      </w:r>
    </w:p>
    <w:p w14:paraId="5BA1DDFE" w14:textId="77777777"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BCE3369" w14:textId="77777777"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609730B0"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33BF5C" w14:textId="77777777" w:rsidR="00D77E41" w:rsidRPr="00ED172B" w:rsidRDefault="00D77E41">
      <w:pPr>
        <w:rPr>
          <w:b/>
          <w:color w:val="000000" w:themeColor="text1"/>
        </w:rPr>
      </w:pPr>
      <w:r w:rsidRPr="00ED172B">
        <w:rPr>
          <w:b/>
          <w:color w:val="000000" w:themeColor="text1"/>
        </w:rPr>
        <w:t>Instructions</w:t>
      </w:r>
    </w:p>
    <w:p w14:paraId="1340E3B9"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3B6CE5A2"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5BB23EE2"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w:t>
      </w:r>
      <w:proofErr w:type="gramStart"/>
      <w:r w:rsidRPr="00ED172B">
        <w:rPr>
          <w:color w:val="000000" w:themeColor="text1"/>
          <w:szCs w:val="16"/>
        </w:rPr>
        <w:t>are</w:t>
      </w:r>
      <w:proofErr w:type="gramEnd"/>
      <w:r w:rsidRPr="00ED172B">
        <w:rPr>
          <w:color w:val="000000" w:themeColor="text1"/>
          <w:szCs w:val="16"/>
        </w:rPr>
        <w:t xml:space="preserv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w:t>
      </w:r>
      <w:proofErr w:type="gramStart"/>
      <w:r w:rsidRPr="00ED172B">
        <w:rPr>
          <w:color w:val="000000" w:themeColor="text1"/>
          <w:szCs w:val="16"/>
        </w:rPr>
        <w:t>time period</w:t>
      </w:r>
      <w:proofErr w:type="gramEnd"/>
      <w:r w:rsidRPr="00ED172B">
        <w:rPr>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6023456F" w14:textId="77777777" w:rsidR="00D77E41" w:rsidRDefault="00D77E41" w:rsidP="00D77E41">
      <w:pPr>
        <w:rPr>
          <w:color w:val="000000" w:themeColor="text1"/>
          <w:szCs w:val="16"/>
        </w:rPr>
      </w:pPr>
      <w:r w:rsidRPr="00ED172B">
        <w:rPr>
          <w:color w:val="000000" w:themeColor="text1"/>
          <w:szCs w:val="16"/>
        </w:rPr>
        <w:t xml:space="preserve">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442B8B4A" w14:textId="77777777" w:rsidR="00955129" w:rsidRPr="00EC51AB" w:rsidRDefault="00955129" w:rsidP="00D77E41">
      <w:pPr>
        <w:rPr>
          <w:szCs w:val="16"/>
        </w:rPr>
      </w:pPr>
      <w:r w:rsidRPr="00EC51AB">
        <w:rPr>
          <w:szCs w:val="16"/>
        </w:rPr>
        <w:t xml:space="preserve">Indicator 8A: The measurement is intended to capture those children </w:t>
      </w:r>
      <w:proofErr w:type="gramStart"/>
      <w:r w:rsidRPr="00EC51AB">
        <w:rPr>
          <w:szCs w:val="16"/>
        </w:rPr>
        <w:t>exiting</w:t>
      </w:r>
      <w:proofErr w:type="gramEnd"/>
      <w:r w:rsidRPr="00EC51AB">
        <w:rPr>
          <w:szCs w:val="16"/>
        </w:rPr>
        <w:t xml:space="preserve"> at age 3 for whom an IFSP must be developed with transition steps and services within the required timeline consistent with 34 CFR </w:t>
      </w:r>
      <w:r w:rsidR="0060440D" w:rsidRPr="00ED172B">
        <w:rPr>
          <w:color w:val="000000" w:themeColor="text1"/>
          <w:szCs w:val="16"/>
        </w:rPr>
        <w:t>§</w:t>
      </w:r>
      <w:r w:rsidRPr="00EC51AB">
        <w:rPr>
          <w:szCs w:val="16"/>
        </w:rPr>
        <w:t>303.209(d) and, as such, only children between 2 years 3 months and 2 years 9 months should be included in the denominator.</w:t>
      </w:r>
    </w:p>
    <w:p w14:paraId="558B7929"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62B40D95"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079F85A"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52396BC3"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7FE7F439" w14:textId="7777777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00912D7D" w14:textId="77777777"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5C8AD4C6" w14:textId="77777777" w:rsidR="00D77E41" w:rsidRPr="00A40EE1" w:rsidRDefault="000D0117" w:rsidP="007B0787">
      <w:pPr>
        <w:pStyle w:val="Heading2"/>
      </w:pPr>
      <w:r w:rsidRPr="00A40EE1">
        <w:t xml:space="preserve">8B - </w:t>
      </w:r>
      <w:r w:rsidR="00D77E41" w:rsidRPr="00A40EE1">
        <w:t>Indicator Data</w:t>
      </w:r>
    </w:p>
    <w:p w14:paraId="55118AE5" w14:textId="7777777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2899"/>
        <w:gridCol w:w="875"/>
      </w:tblGrid>
      <w:tr w:rsidR="00C25621" w:rsidRPr="00ED172B" w14:paraId="1613D0C3" w14:textId="77777777" w:rsidTr="00A40EE1">
        <w:trPr>
          <w:trHeight w:val="350"/>
          <w:tblHeader/>
        </w:trPr>
        <w:tc>
          <w:tcPr>
            <w:tcW w:w="4285" w:type="pct"/>
            <w:tcBorders>
              <w:bottom w:val="single" w:sz="4" w:space="0" w:color="auto"/>
            </w:tcBorders>
            <w:vAlign w:val="center"/>
          </w:tcPr>
          <w:p w14:paraId="1D0A45C4"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2E232A2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4527CB7C" w14:textId="77777777" w:rsidTr="00A40EE1">
        <w:trPr>
          <w:trHeight w:val="350"/>
        </w:trPr>
        <w:tc>
          <w:tcPr>
            <w:tcW w:w="4285" w:type="pct"/>
            <w:tcBorders>
              <w:bottom w:val="single" w:sz="4" w:space="0" w:color="auto"/>
            </w:tcBorders>
            <w:vAlign w:val="center"/>
          </w:tcPr>
          <w:p w14:paraId="113C9917" w14:textId="77777777" w:rsidR="000378F3" w:rsidRPr="00ED172B" w:rsidRDefault="000378F3" w:rsidP="000378F3">
            <w:pPr>
              <w:jc w:val="center"/>
              <w:rPr>
                <w:b/>
                <w:color w:val="000000" w:themeColor="text1"/>
              </w:rPr>
            </w:pPr>
            <w:r w:rsidRPr="00ED172B">
              <w:rPr>
                <w:color w:val="000000" w:themeColor="text1"/>
              </w:rPr>
              <w:t>2023</w:t>
            </w:r>
          </w:p>
        </w:tc>
        <w:tc>
          <w:tcPr>
            <w:tcW w:w="715" w:type="pct"/>
            <w:vAlign w:val="center"/>
          </w:tcPr>
          <w:p w14:paraId="5CC9CF6F" w14:textId="77777777" w:rsidR="000378F3" w:rsidRPr="00ED172B" w:rsidRDefault="000378F3" w:rsidP="000378F3">
            <w:pPr>
              <w:jc w:val="center"/>
              <w:rPr>
                <w:color w:val="000000" w:themeColor="text1"/>
              </w:rPr>
            </w:pPr>
            <w:r w:rsidRPr="00ED172B">
              <w:rPr>
                <w:color w:val="000000" w:themeColor="text1"/>
              </w:rPr>
              <w:t>100.00%</w:t>
            </w:r>
          </w:p>
        </w:tc>
      </w:tr>
    </w:tbl>
    <w:p w14:paraId="22B63F0C"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684"/>
        <w:gridCol w:w="2022"/>
        <w:gridCol w:w="2022"/>
        <w:gridCol w:w="2022"/>
        <w:gridCol w:w="2022"/>
        <w:gridCol w:w="2018"/>
      </w:tblGrid>
      <w:tr w:rsidR="00ED172B" w:rsidRPr="00ED172B" w14:paraId="5C90AD6B" w14:textId="77777777" w:rsidTr="00A40EE1">
        <w:trPr>
          <w:trHeight w:val="350"/>
        </w:trPr>
        <w:tc>
          <w:tcPr>
            <w:tcW w:w="317" w:type="pct"/>
            <w:tcBorders>
              <w:bottom w:val="single" w:sz="4" w:space="0" w:color="auto"/>
            </w:tcBorders>
          </w:tcPr>
          <w:p w14:paraId="449D718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6718E410"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40F23778"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2746C186"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607AFDBB"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6964D6C8"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5285F524" w14:textId="77777777" w:rsidTr="00A40EE1">
        <w:trPr>
          <w:trHeight w:val="357"/>
        </w:trPr>
        <w:tc>
          <w:tcPr>
            <w:tcW w:w="317" w:type="pct"/>
          </w:tcPr>
          <w:p w14:paraId="3559B7E4"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4DF06D62"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1BA1345A"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12621BD1"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58D1E077" w14:textId="77777777"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069D1046" w14:textId="77777777"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0C98CB83" w14:textId="77777777" w:rsidTr="00A40EE1">
        <w:trPr>
          <w:trHeight w:val="85"/>
        </w:trPr>
        <w:tc>
          <w:tcPr>
            <w:tcW w:w="317" w:type="pct"/>
          </w:tcPr>
          <w:p w14:paraId="781A4A41"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239F9A33"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c>
          <w:tcPr>
            <w:tcW w:w="937" w:type="pct"/>
            <w:tcBorders>
              <w:bottom w:val="single" w:sz="4" w:space="0" w:color="auto"/>
            </w:tcBorders>
            <w:vAlign w:val="center"/>
          </w:tcPr>
          <w:p w14:paraId="3CEB504C" w14:textId="77777777" w:rsidR="00DC0682" w:rsidRPr="00ED172B" w:rsidRDefault="00860830" w:rsidP="00CD79C5">
            <w:pPr>
              <w:jc w:val="center"/>
              <w:rPr>
                <w:color w:val="000000" w:themeColor="text1"/>
                <w:szCs w:val="16"/>
              </w:rPr>
            </w:pPr>
            <w:r w:rsidRPr="00ED172B">
              <w:rPr>
                <w:rFonts w:cs="Arial"/>
                <w:color w:val="000000" w:themeColor="text1"/>
                <w:szCs w:val="16"/>
              </w:rPr>
              <w:t>99.96%</w:t>
            </w:r>
          </w:p>
        </w:tc>
        <w:tc>
          <w:tcPr>
            <w:tcW w:w="937" w:type="pct"/>
            <w:tcBorders>
              <w:bottom w:val="single" w:sz="4" w:space="0" w:color="auto"/>
            </w:tcBorders>
            <w:vAlign w:val="center"/>
          </w:tcPr>
          <w:p w14:paraId="2A744F2C" w14:textId="77777777" w:rsidR="00DC0682" w:rsidRPr="00ED172B" w:rsidRDefault="00860830" w:rsidP="00CD79C5">
            <w:pPr>
              <w:jc w:val="center"/>
              <w:rPr>
                <w:color w:val="000000" w:themeColor="text1"/>
                <w:szCs w:val="16"/>
              </w:rPr>
            </w:pPr>
            <w:r w:rsidRPr="00ED172B">
              <w:rPr>
                <w:rFonts w:cs="Arial"/>
                <w:color w:val="000000" w:themeColor="text1"/>
                <w:szCs w:val="16"/>
              </w:rPr>
              <w:t>99.90%</w:t>
            </w:r>
          </w:p>
        </w:tc>
        <w:tc>
          <w:tcPr>
            <w:tcW w:w="937" w:type="pct"/>
            <w:tcBorders>
              <w:bottom w:val="single" w:sz="4" w:space="0" w:color="auto"/>
            </w:tcBorders>
            <w:vAlign w:val="center"/>
          </w:tcPr>
          <w:p w14:paraId="4B0E2379" w14:textId="77777777" w:rsidR="00DC0682" w:rsidRPr="00ED172B" w:rsidRDefault="00860830" w:rsidP="00CD79C5">
            <w:pPr>
              <w:jc w:val="center"/>
              <w:rPr>
                <w:color w:val="000000" w:themeColor="text1"/>
                <w:szCs w:val="16"/>
              </w:rPr>
            </w:pPr>
            <w:r w:rsidRPr="00ED172B">
              <w:rPr>
                <w:rFonts w:cs="Arial"/>
                <w:color w:val="000000" w:themeColor="text1"/>
                <w:szCs w:val="16"/>
              </w:rPr>
              <w:t>99.95%</w:t>
            </w:r>
          </w:p>
        </w:tc>
        <w:tc>
          <w:tcPr>
            <w:tcW w:w="937" w:type="pct"/>
            <w:tcBorders>
              <w:bottom w:val="single" w:sz="4" w:space="0" w:color="auto"/>
            </w:tcBorders>
            <w:vAlign w:val="center"/>
          </w:tcPr>
          <w:p w14:paraId="7873C6A6" w14:textId="77777777" w:rsidR="00DC0682" w:rsidRPr="00ED172B" w:rsidRDefault="00860830" w:rsidP="00CD79C5">
            <w:pPr>
              <w:jc w:val="center"/>
              <w:rPr>
                <w:color w:val="000000" w:themeColor="text1"/>
                <w:szCs w:val="16"/>
              </w:rPr>
            </w:pPr>
            <w:r w:rsidRPr="00ED172B">
              <w:rPr>
                <w:rFonts w:cs="Arial"/>
                <w:color w:val="000000" w:themeColor="text1"/>
                <w:szCs w:val="16"/>
              </w:rPr>
              <w:t>99.95%</w:t>
            </w:r>
          </w:p>
        </w:tc>
      </w:tr>
    </w:tbl>
    <w:p w14:paraId="5CC42825" w14:textId="77777777" w:rsidR="008A4FF2" w:rsidRPr="00ED172B" w:rsidRDefault="008A4FF2">
      <w:pPr>
        <w:rPr>
          <w:b/>
          <w:color w:val="000000" w:themeColor="text1"/>
        </w:rPr>
      </w:pPr>
    </w:p>
    <w:p w14:paraId="6C44FF30" w14:textId="77777777" w:rsidR="008A4FF2" w:rsidRPr="00ED172B" w:rsidRDefault="008A4FF2">
      <w:pPr>
        <w:rPr>
          <w:b/>
          <w:color w:val="000000" w:themeColor="text1"/>
        </w:rPr>
      </w:pPr>
    </w:p>
    <w:p w14:paraId="2DFEB5EC" w14:textId="77777777"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2582"/>
        <w:gridCol w:w="2760"/>
      </w:tblGrid>
      <w:tr w:rsidR="00CF59E2" w:rsidRPr="00ED172B" w14:paraId="61214780" w14:textId="77777777" w:rsidTr="00811738">
        <w:trPr>
          <w:trHeight w:val="265"/>
        </w:trPr>
        <w:tc>
          <w:tcPr>
            <w:tcW w:w="564" w:type="pct"/>
            <w:tcBorders>
              <w:bottom w:val="single" w:sz="4" w:space="0" w:color="auto"/>
            </w:tcBorders>
          </w:tcPr>
          <w:p w14:paraId="1F95DE5A"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4" w:type="pct"/>
            <w:vAlign w:val="center"/>
          </w:tcPr>
          <w:p w14:paraId="537FDE56" w14:textId="77777777"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2" w:type="pct"/>
          </w:tcPr>
          <w:p w14:paraId="6B81798F" w14:textId="77777777"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749D23C8" w14:textId="77777777" w:rsidTr="00811738">
        <w:trPr>
          <w:trHeight w:val="270"/>
        </w:trPr>
        <w:tc>
          <w:tcPr>
            <w:tcW w:w="564" w:type="pct"/>
          </w:tcPr>
          <w:p w14:paraId="54C0F0B6"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08DF4F96" w14:textId="77777777" w:rsidR="00CF59E2" w:rsidRPr="00ED172B" w:rsidRDefault="00CF59E2" w:rsidP="00A74C59">
            <w:pPr>
              <w:jc w:val="center"/>
              <w:rPr>
                <w:color w:val="000000" w:themeColor="text1"/>
                <w:szCs w:val="16"/>
              </w:rPr>
            </w:pPr>
            <w:r w:rsidRPr="00ED172B">
              <w:rPr>
                <w:color w:val="000000" w:themeColor="text1"/>
                <w:szCs w:val="16"/>
              </w:rPr>
              <w:t>100%</w:t>
            </w:r>
          </w:p>
        </w:tc>
        <w:tc>
          <w:tcPr>
            <w:tcW w:w="2292" w:type="pct"/>
          </w:tcPr>
          <w:p w14:paraId="79FCDC52" w14:textId="77777777" w:rsidR="00CF59E2" w:rsidRPr="00ED172B" w:rsidRDefault="00CF59E2" w:rsidP="00A74C59">
            <w:pPr>
              <w:jc w:val="center"/>
              <w:rPr>
                <w:color w:val="000000" w:themeColor="text1"/>
                <w:szCs w:val="16"/>
              </w:rPr>
            </w:pPr>
            <w:r>
              <w:rPr>
                <w:rFonts w:cs="Arial"/>
                <w:color w:val="000000" w:themeColor="text1"/>
                <w:szCs w:val="16"/>
              </w:rPr>
              <w:t>100%</w:t>
            </w:r>
          </w:p>
        </w:tc>
      </w:tr>
    </w:tbl>
    <w:p w14:paraId="4B72A25F" w14:textId="77777777" w:rsidR="008E7B96" w:rsidRPr="00ED172B" w:rsidRDefault="00F22D09">
      <w:pPr>
        <w:rPr>
          <w:b/>
          <w:color w:val="000000" w:themeColor="text1"/>
        </w:rPr>
      </w:pPr>
      <w:r>
        <w:rPr>
          <w:b/>
          <w:color w:val="000000" w:themeColor="text1"/>
        </w:rPr>
        <w:t>FFY 2024 SPP/APR Data</w:t>
      </w:r>
    </w:p>
    <w:p w14:paraId="07CBF3F3" w14:textId="77777777"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365A7829" w14:textId="77777777"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749517D8" w14:textId="77777777" w:rsidTr="00986B99">
        <w:trPr>
          <w:tblHeader/>
        </w:trPr>
        <w:tc>
          <w:tcPr>
            <w:tcW w:w="1376" w:type="pct"/>
            <w:vAlign w:val="bottom"/>
          </w:tcPr>
          <w:p w14:paraId="47C0904A" w14:textId="77777777"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vAlign w:val="bottom"/>
          </w:tcPr>
          <w:p w14:paraId="416C4717" w14:textId="77777777"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vAlign w:val="bottom"/>
          </w:tcPr>
          <w:p w14:paraId="71F01FE2" w14:textId="77777777" w:rsidR="00F939F8" w:rsidRPr="00ED172B" w:rsidRDefault="00CD74B5" w:rsidP="00F939F8">
            <w:pPr>
              <w:jc w:val="center"/>
              <w:rPr>
                <w:b/>
                <w:color w:val="000000" w:themeColor="text1"/>
                <w:szCs w:val="16"/>
              </w:rPr>
            </w:pPr>
            <w:r>
              <w:rPr>
                <w:rFonts w:cs="Arial"/>
                <w:b/>
                <w:color w:val="000000" w:themeColor="text1"/>
                <w:szCs w:val="16"/>
              </w:rPr>
              <w:t>FFY 2023 Data</w:t>
            </w:r>
          </w:p>
        </w:tc>
        <w:tc>
          <w:tcPr>
            <w:tcW w:w="625" w:type="pct"/>
            <w:vAlign w:val="bottom"/>
          </w:tcPr>
          <w:p w14:paraId="24041BD6" w14:textId="77777777" w:rsidR="00F939F8" w:rsidRPr="00ED172B" w:rsidRDefault="00F22D09" w:rsidP="00F939F8">
            <w:pPr>
              <w:jc w:val="center"/>
              <w:rPr>
                <w:b/>
                <w:color w:val="000000" w:themeColor="text1"/>
                <w:szCs w:val="16"/>
              </w:rPr>
            </w:pPr>
            <w:r>
              <w:rPr>
                <w:rFonts w:cs="Arial"/>
                <w:b/>
                <w:color w:val="000000" w:themeColor="text1"/>
                <w:szCs w:val="16"/>
              </w:rPr>
              <w:t>FFY 2024 Target</w:t>
            </w:r>
          </w:p>
        </w:tc>
        <w:tc>
          <w:tcPr>
            <w:tcW w:w="542" w:type="pct"/>
            <w:vAlign w:val="bottom"/>
          </w:tcPr>
          <w:p w14:paraId="4CACA899" w14:textId="77777777" w:rsidR="00F939F8" w:rsidRPr="00ED172B" w:rsidRDefault="00F22D09" w:rsidP="00F939F8">
            <w:pPr>
              <w:jc w:val="center"/>
              <w:rPr>
                <w:b/>
                <w:color w:val="000000" w:themeColor="text1"/>
                <w:szCs w:val="16"/>
              </w:rPr>
            </w:pPr>
            <w:r>
              <w:rPr>
                <w:rFonts w:cs="Arial"/>
                <w:b/>
                <w:color w:val="000000" w:themeColor="text1"/>
                <w:szCs w:val="16"/>
              </w:rPr>
              <w:t>FFY 2024 Data</w:t>
            </w:r>
          </w:p>
        </w:tc>
        <w:tc>
          <w:tcPr>
            <w:tcW w:w="542" w:type="pct"/>
            <w:vAlign w:val="bottom"/>
          </w:tcPr>
          <w:p w14:paraId="16CCD6D7" w14:textId="77777777"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vAlign w:val="bottom"/>
          </w:tcPr>
          <w:p w14:paraId="4B5AC71A" w14:textId="77777777"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2CDC9C82" w14:textId="77777777" w:rsidTr="00986B99">
        <w:tc>
          <w:tcPr>
            <w:tcW w:w="1376" w:type="pct"/>
            <w:vAlign w:val="center"/>
          </w:tcPr>
          <w:p w14:paraId="16C0ACC9" w14:textId="77777777" w:rsidR="00F939F8" w:rsidRPr="00ED172B" w:rsidRDefault="00860830" w:rsidP="00F939F8">
            <w:pPr>
              <w:jc w:val="center"/>
              <w:rPr>
                <w:color w:val="000000" w:themeColor="text1"/>
                <w:szCs w:val="16"/>
              </w:rPr>
            </w:pPr>
            <w:r w:rsidRPr="00ED172B">
              <w:rPr>
                <w:color w:val="000000" w:themeColor="text1"/>
                <w:szCs w:val="16"/>
              </w:rPr>
              <w:t>3,486</w:t>
            </w:r>
          </w:p>
        </w:tc>
        <w:tc>
          <w:tcPr>
            <w:tcW w:w="750" w:type="pct"/>
            <w:vAlign w:val="center"/>
          </w:tcPr>
          <w:p w14:paraId="78B16379" w14:textId="77777777" w:rsidR="00F939F8" w:rsidRPr="00ED172B" w:rsidRDefault="00860830" w:rsidP="00F939F8">
            <w:pPr>
              <w:jc w:val="center"/>
              <w:rPr>
                <w:color w:val="000000" w:themeColor="text1"/>
                <w:szCs w:val="16"/>
              </w:rPr>
            </w:pPr>
            <w:r w:rsidRPr="00ED172B">
              <w:rPr>
                <w:color w:val="000000" w:themeColor="text1"/>
                <w:szCs w:val="16"/>
              </w:rPr>
              <w:t>3,599</w:t>
            </w:r>
          </w:p>
        </w:tc>
        <w:tc>
          <w:tcPr>
            <w:tcW w:w="626" w:type="pct"/>
          </w:tcPr>
          <w:p w14:paraId="48420B99" w14:textId="77777777" w:rsidR="00F939F8" w:rsidRPr="00ED172B" w:rsidRDefault="00860830" w:rsidP="00F939F8">
            <w:pPr>
              <w:jc w:val="center"/>
              <w:rPr>
                <w:color w:val="000000" w:themeColor="text1"/>
                <w:szCs w:val="16"/>
              </w:rPr>
            </w:pPr>
            <w:r w:rsidRPr="00ED172B">
              <w:rPr>
                <w:rFonts w:cs="Arial"/>
                <w:color w:val="000000" w:themeColor="text1"/>
                <w:szCs w:val="16"/>
              </w:rPr>
              <w:t>99.95%</w:t>
            </w:r>
          </w:p>
        </w:tc>
        <w:tc>
          <w:tcPr>
            <w:tcW w:w="625" w:type="pct"/>
          </w:tcPr>
          <w:p w14:paraId="28C3C320" w14:textId="77777777"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tcPr>
          <w:p w14:paraId="79217498" w14:textId="77777777" w:rsidR="00F939F8" w:rsidRPr="00ED172B" w:rsidRDefault="00860830" w:rsidP="00F939F8">
            <w:pPr>
              <w:jc w:val="center"/>
              <w:rPr>
                <w:color w:val="000000" w:themeColor="text1"/>
                <w:szCs w:val="16"/>
              </w:rPr>
            </w:pPr>
            <w:r w:rsidRPr="00ED172B">
              <w:rPr>
                <w:rFonts w:cs="Arial"/>
                <w:color w:val="000000" w:themeColor="text1"/>
                <w:szCs w:val="16"/>
              </w:rPr>
              <w:t>99.83%</w:t>
            </w:r>
          </w:p>
        </w:tc>
        <w:tc>
          <w:tcPr>
            <w:tcW w:w="542" w:type="pct"/>
          </w:tcPr>
          <w:p w14:paraId="1382E07C" w14:textId="77777777" w:rsidR="00F939F8" w:rsidRPr="00ED172B" w:rsidRDefault="00320806" w:rsidP="00320806">
            <w:pPr>
              <w:jc w:val="center"/>
              <w:rPr>
                <w:color w:val="000000" w:themeColor="text1"/>
              </w:rPr>
            </w:pPr>
            <w:r w:rsidRPr="00ED172B">
              <w:rPr>
                <w:color w:val="000000" w:themeColor="text1"/>
              </w:rPr>
              <w:t>Did not meet target</w:t>
            </w:r>
          </w:p>
        </w:tc>
        <w:tc>
          <w:tcPr>
            <w:tcW w:w="539" w:type="pct"/>
          </w:tcPr>
          <w:p w14:paraId="1EEAB2DD" w14:textId="77777777" w:rsidR="00F939F8" w:rsidRPr="00ED172B" w:rsidRDefault="00320806" w:rsidP="00320806">
            <w:pPr>
              <w:jc w:val="center"/>
              <w:rPr>
                <w:color w:val="000000" w:themeColor="text1"/>
              </w:rPr>
            </w:pPr>
            <w:r w:rsidRPr="00ED172B">
              <w:rPr>
                <w:color w:val="000000" w:themeColor="text1"/>
              </w:rPr>
              <w:t>No Slippage</w:t>
            </w:r>
          </w:p>
        </w:tc>
      </w:tr>
    </w:tbl>
    <w:p w14:paraId="266CE100"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3A007233" w14:textId="77777777"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3E29E705" w14:textId="77777777" w:rsidR="00C1714A" w:rsidRDefault="00C1714A" w:rsidP="00C1714A">
      <w:pPr>
        <w:rPr>
          <w:color w:val="000000" w:themeColor="text1"/>
          <w:szCs w:val="16"/>
        </w:rPr>
      </w:pPr>
      <w:r w:rsidRPr="00ED172B">
        <w:rPr>
          <w:color w:val="000000" w:themeColor="text1"/>
          <w:szCs w:val="16"/>
        </w:rPr>
        <w:t>107</w:t>
      </w:r>
    </w:p>
    <w:p w14:paraId="68907225"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0877F2A6" w14:textId="77777777" w:rsidR="001F3FD2" w:rsidRPr="00ED172B" w:rsidRDefault="001F3FD2" w:rsidP="001F3FD2">
      <w:pPr>
        <w:rPr>
          <w:rFonts w:cs="Arial"/>
          <w:color w:val="000000" w:themeColor="text1"/>
          <w:szCs w:val="16"/>
        </w:rPr>
      </w:pPr>
      <w:r w:rsidRPr="00ED172B">
        <w:rPr>
          <w:color w:val="000000" w:themeColor="text1"/>
          <w:szCs w:val="16"/>
        </w:rPr>
        <w:t>FFY 2024-25 data were analyzed to identify causes of delayed SEA/LEA notifications.</w:t>
      </w:r>
    </w:p>
    <w:p w14:paraId="7CA491C8" w14:textId="77777777" w:rsidR="007876EE" w:rsidRDefault="007876EE"/>
    <w:p w14:paraId="5079B0CC" w14:textId="77777777" w:rsidR="007876EE" w:rsidRDefault="00000000">
      <w:r>
        <w:rPr>
          <w:color w:val="000000"/>
        </w:rPr>
        <w:t>For the six children with delayed notifications:</w:t>
      </w:r>
    </w:p>
    <w:p w14:paraId="678067C9" w14:textId="77777777" w:rsidR="007876EE" w:rsidRDefault="00000000">
      <w:r>
        <w:rPr>
          <w:color w:val="000000"/>
        </w:rPr>
        <w:t>-Five delays occurred because the child’s file was reopened 90–120 days before the third birthday, and the initial IFSP was still pending.</w:t>
      </w:r>
    </w:p>
    <w:p w14:paraId="441A7684" w14:textId="77777777" w:rsidR="007876EE" w:rsidRDefault="00000000">
      <w:r>
        <w:rPr>
          <w:color w:val="000000"/>
        </w:rPr>
        <w:t xml:space="preserve">-One delay was due to a Service Coordinator data entry error. </w:t>
      </w:r>
    </w:p>
    <w:p w14:paraId="46418064" w14:textId="77777777" w:rsidR="007876EE" w:rsidRDefault="007876EE"/>
    <w:p w14:paraId="59E75F62" w14:textId="77777777" w:rsidR="007876EE" w:rsidRDefault="00000000">
      <w:r>
        <w:rPr>
          <w:color w:val="000000"/>
        </w:rPr>
        <w:t>FFY 2024-25 was the first year TEIS did not use pre-finding correction for this indicator. Findings were issued for EIS programs that did not report 100% compliance.</w:t>
      </w:r>
    </w:p>
    <w:p w14:paraId="1C431163" w14:textId="77777777" w:rsidR="001F3FD2" w:rsidRPr="00ED172B" w:rsidRDefault="001F3FD2" w:rsidP="00C1714A">
      <w:pPr>
        <w:rPr>
          <w:rFonts w:cs="Arial"/>
          <w:color w:val="000000" w:themeColor="text1"/>
          <w:szCs w:val="16"/>
        </w:rPr>
      </w:pPr>
    </w:p>
    <w:p w14:paraId="53FED430" w14:textId="77777777"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721F0B61" w14:textId="77777777" w:rsidR="003C1AB9" w:rsidRPr="00ED172B" w:rsidRDefault="00860830" w:rsidP="003C1AB9">
      <w:pPr>
        <w:rPr>
          <w:color w:val="000000" w:themeColor="text1"/>
          <w:szCs w:val="16"/>
        </w:rPr>
      </w:pPr>
      <w:r w:rsidRPr="00ED172B">
        <w:rPr>
          <w:color w:val="000000" w:themeColor="text1"/>
          <w:szCs w:val="16"/>
        </w:rPr>
        <w:t>Each month, TEIS state data personnel extract child-level data from TEIDS for all children served by TEIS who are approaching the age of transition (i.e., from nine months before to no fewer than 90 days prior to their third birthday) and who are potentially eligible for Part B, Section 619 Special Education Preschool Services.</w:t>
      </w:r>
    </w:p>
    <w:p w14:paraId="2C046F31" w14:textId="77777777" w:rsidR="007876EE" w:rsidRDefault="007876EE"/>
    <w:p w14:paraId="412A7475" w14:textId="77777777" w:rsidR="007876EE" w:rsidRDefault="00000000">
      <w:r>
        <w:rPr>
          <w:color w:val="000000"/>
        </w:rPr>
        <w:t>Notification data are shared with the State Education Agency (SEA) and the child’s Local Education Agency (LEA) unless the family has opted out. The notification file includes contact information for each child and is sent to the LEA where the child resides to help the LEA prepare for toddlers who may be eligible for Part B preschool services.</w:t>
      </w:r>
    </w:p>
    <w:p w14:paraId="14C27530" w14:textId="77777777" w:rsidR="007876EE" w:rsidRDefault="007876EE"/>
    <w:p w14:paraId="03166D43" w14:textId="77777777" w:rsidR="007876EE" w:rsidRDefault="00000000">
      <w:r>
        <w:rPr>
          <w:color w:val="000000"/>
        </w:rPr>
        <w:t>Annual monitoring for this indicator uses the completed data file at the end of the fiscal year. Findings are issued for EIS programs that do not report 100% compliance. Subsequent monthly data reviews continue until systemic and child-level corrections are verified.</w:t>
      </w:r>
    </w:p>
    <w:p w14:paraId="0E6A4702" w14:textId="77777777"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1E32DCE4" w14:textId="77777777" w:rsidR="00C476A6" w:rsidRDefault="00C476A6" w:rsidP="003C1AB9">
      <w:pPr>
        <w:rPr>
          <w:color w:val="000000" w:themeColor="text1"/>
          <w:szCs w:val="16"/>
        </w:rPr>
      </w:pPr>
      <w:r w:rsidRPr="00ED172B">
        <w:rPr>
          <w:color w:val="000000" w:themeColor="text1"/>
          <w:szCs w:val="16"/>
        </w:rPr>
        <w:t>YES</w:t>
      </w:r>
    </w:p>
    <w:p w14:paraId="2050D40C" w14:textId="77777777" w:rsidR="00C476A6" w:rsidRPr="00ED172B" w:rsidRDefault="00C476A6" w:rsidP="003C1AB9">
      <w:pPr>
        <w:rPr>
          <w:b/>
          <w:color w:val="000000" w:themeColor="text1"/>
          <w:szCs w:val="16"/>
        </w:rPr>
      </w:pPr>
      <w:r w:rsidRPr="00ED172B">
        <w:rPr>
          <w:b/>
          <w:color w:val="000000" w:themeColor="text1"/>
          <w:szCs w:val="16"/>
        </w:rPr>
        <w:t xml:space="preserve">If yes, is the policy </w:t>
      </w:r>
      <w:proofErr w:type="gramStart"/>
      <w:r w:rsidRPr="00ED172B">
        <w:rPr>
          <w:b/>
          <w:color w:val="000000" w:themeColor="text1"/>
          <w:szCs w:val="16"/>
        </w:rPr>
        <w:t>on</w:t>
      </w:r>
      <w:proofErr w:type="gramEnd"/>
      <w:r w:rsidRPr="00ED172B">
        <w:rPr>
          <w:b/>
          <w:color w:val="000000" w:themeColor="text1"/>
          <w:szCs w:val="16"/>
        </w:rPr>
        <w:t xml:space="preserve"> file with the Department? (yes/no)</w:t>
      </w:r>
    </w:p>
    <w:p w14:paraId="57E39332" w14:textId="77777777" w:rsidR="00C476A6" w:rsidRDefault="00C476A6" w:rsidP="003C1AB9">
      <w:pPr>
        <w:rPr>
          <w:color w:val="000000" w:themeColor="text1"/>
          <w:szCs w:val="16"/>
        </w:rPr>
      </w:pPr>
      <w:r w:rsidRPr="00ED172B">
        <w:rPr>
          <w:color w:val="000000" w:themeColor="text1"/>
          <w:szCs w:val="16"/>
        </w:rPr>
        <w:t>YES</w:t>
      </w:r>
    </w:p>
    <w:p w14:paraId="5092BFE7"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28D8D97C" w14:textId="77777777" w:rsidR="000709B9" w:rsidRDefault="00860830" w:rsidP="00B83404">
      <w:pPr>
        <w:rPr>
          <w:color w:val="000000" w:themeColor="text1"/>
        </w:rPr>
      </w:pPr>
      <w:r w:rsidRPr="00ED172B">
        <w:rPr>
          <w:color w:val="000000" w:themeColor="text1"/>
        </w:rPr>
        <w:t>State database</w:t>
      </w:r>
    </w:p>
    <w:p w14:paraId="221C3859" w14:textId="77777777" w:rsidR="000709B9" w:rsidRPr="00ED172B" w:rsidRDefault="000709B9">
      <w:pPr>
        <w:rPr>
          <w:b/>
          <w:color w:val="000000" w:themeColor="text1"/>
        </w:rPr>
      </w:pPr>
      <w:r w:rsidRPr="00ED172B">
        <w:rPr>
          <w:b/>
          <w:color w:val="000000" w:themeColor="text1"/>
        </w:rPr>
        <w:t xml:space="preserve">Provide the </w:t>
      </w:r>
      <w:proofErr w:type="gramStart"/>
      <w:r w:rsidRPr="00ED172B">
        <w:rPr>
          <w:b/>
          <w:color w:val="000000" w:themeColor="text1"/>
        </w:rPr>
        <w:t>time period</w:t>
      </w:r>
      <w:proofErr w:type="gramEnd"/>
      <w:r w:rsidRPr="00ED172B">
        <w:rPr>
          <w:b/>
          <w:color w:val="000000" w:themeColor="text1"/>
        </w:rPr>
        <w:t xml:space="preserve"> in which the data were collected (e.g., September through December, fourth quarter, selection from the full reporting period). </w:t>
      </w:r>
    </w:p>
    <w:p w14:paraId="2FAA810E" w14:textId="77777777" w:rsidR="000709B9" w:rsidRPr="00ED172B" w:rsidRDefault="00860830" w:rsidP="000709B9">
      <w:pPr>
        <w:rPr>
          <w:color w:val="000000" w:themeColor="text1"/>
        </w:rPr>
      </w:pPr>
      <w:r w:rsidRPr="00ED172B">
        <w:rPr>
          <w:color w:val="000000" w:themeColor="text1"/>
        </w:rPr>
        <w:t>July 1, 2024-June 30, 2025</w:t>
      </w:r>
    </w:p>
    <w:p w14:paraId="3B25BDF1" w14:textId="77777777" w:rsidR="000709B9" w:rsidRPr="00ED172B" w:rsidRDefault="000709B9">
      <w:pPr>
        <w:rPr>
          <w:b/>
          <w:color w:val="000000" w:themeColor="text1"/>
        </w:rPr>
      </w:pPr>
      <w:r w:rsidRPr="00ED172B">
        <w:rPr>
          <w:b/>
          <w:color w:val="000000" w:themeColor="text1"/>
        </w:rPr>
        <w:t xml:space="preserve">Describe how the data accurately </w:t>
      </w:r>
      <w:proofErr w:type="gramStart"/>
      <w:r w:rsidRPr="00ED172B">
        <w:rPr>
          <w:b/>
          <w:color w:val="000000" w:themeColor="text1"/>
        </w:rPr>
        <w:t>reflect</w:t>
      </w:r>
      <w:proofErr w:type="gramEnd"/>
      <w:r w:rsidRPr="00ED172B">
        <w:rPr>
          <w:b/>
          <w:color w:val="000000" w:themeColor="text1"/>
        </w:rPr>
        <w:t xml:space="preserve"> data for infants and toddlers with IFSPs for the full reporting period. </w:t>
      </w:r>
    </w:p>
    <w:p w14:paraId="31F4A7CF" w14:textId="77777777" w:rsidR="000709B9" w:rsidRDefault="00860830" w:rsidP="000709B9">
      <w:pPr>
        <w:rPr>
          <w:rFonts w:cs="Arial"/>
          <w:color w:val="000000" w:themeColor="text1"/>
          <w:szCs w:val="16"/>
        </w:rPr>
      </w:pPr>
      <w:r w:rsidRPr="00ED172B">
        <w:rPr>
          <w:rFonts w:cs="Arial"/>
          <w:color w:val="000000" w:themeColor="text1"/>
          <w:szCs w:val="16"/>
        </w:rPr>
        <w:t xml:space="preserve">The data includes all infants and toddlers </w:t>
      </w:r>
      <w:proofErr w:type="gramStart"/>
      <w:r w:rsidRPr="00ED172B">
        <w:rPr>
          <w:rFonts w:cs="Arial"/>
          <w:color w:val="000000" w:themeColor="text1"/>
          <w:szCs w:val="16"/>
        </w:rPr>
        <w:t>exiting</w:t>
      </w:r>
      <w:proofErr w:type="gramEnd"/>
      <w:r w:rsidRPr="00ED172B">
        <w:rPr>
          <w:rFonts w:cs="Arial"/>
          <w:color w:val="000000" w:themeColor="text1"/>
          <w:szCs w:val="16"/>
        </w:rPr>
        <w:t xml:space="preserve"> at age three in 2024-25 who were potentially eligible for Part B. Children who exited prior to reaching transition age, children who exited for specific reasons (e.g. moved out of state), and children who did not have IFSPs are excluded from the dataset. </w:t>
      </w:r>
    </w:p>
    <w:p w14:paraId="11D68133"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6D274290" w14:textId="77777777" w:rsidR="003A3693" w:rsidRPr="00ED172B" w:rsidRDefault="003A3693" w:rsidP="003A3693">
      <w:pPr>
        <w:rPr>
          <w:rFonts w:cs="Arial"/>
          <w:color w:val="000000" w:themeColor="text1"/>
          <w:szCs w:val="16"/>
        </w:rPr>
      </w:pPr>
    </w:p>
    <w:p w14:paraId="163181A1" w14:textId="77777777" w:rsidR="008203B4" w:rsidRPr="00ED172B" w:rsidRDefault="008203B4" w:rsidP="00B83404">
      <w:pPr>
        <w:rPr>
          <w:color w:val="000000" w:themeColor="text1"/>
        </w:rPr>
      </w:pPr>
      <w:r w:rsidRPr="00ED172B">
        <w:rPr>
          <w:b/>
          <w:color w:val="000000" w:themeColor="text1"/>
        </w:rPr>
        <w:lastRenderedPageBreak/>
        <w:t>Correction of Findings of Noncompliance Identified in FFY 2023</w:t>
      </w:r>
    </w:p>
    <w:tbl>
      <w:tblPr>
        <w:tblStyle w:val="TableGrid"/>
        <w:tblW w:w="5000" w:type="pct"/>
        <w:tblLook w:val="04A0" w:firstRow="1" w:lastRow="0" w:firstColumn="1" w:lastColumn="0" w:noHBand="0" w:noVBand="1"/>
        <w:tblCaption w:val="C08BPFFYNCFINDINGS"/>
      </w:tblPr>
      <w:tblGrid>
        <w:gridCol w:w="2610"/>
        <w:gridCol w:w="2741"/>
        <w:gridCol w:w="2618"/>
        <w:gridCol w:w="2821"/>
      </w:tblGrid>
      <w:tr w:rsidR="00ED172B" w:rsidRPr="00ED172B" w14:paraId="1189B8AC" w14:textId="77777777" w:rsidTr="00986B99">
        <w:trPr>
          <w:tblHeader/>
        </w:trPr>
        <w:tc>
          <w:tcPr>
            <w:tcW w:w="1210" w:type="pct"/>
            <w:vAlign w:val="bottom"/>
          </w:tcPr>
          <w:p w14:paraId="0446C5F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vAlign w:val="bottom"/>
          </w:tcPr>
          <w:p w14:paraId="2A24A13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5A48AB31"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30DC613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3740744A" w14:textId="77777777" w:rsidTr="00986B99">
        <w:tc>
          <w:tcPr>
            <w:tcW w:w="1210" w:type="pct"/>
          </w:tcPr>
          <w:p w14:paraId="6B7E5B79"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tcPr>
          <w:p w14:paraId="69882B9D"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tcPr>
          <w:p w14:paraId="27FE0D37" w14:textId="77777777"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tcPr>
          <w:p w14:paraId="584DAF07" w14:textId="77777777"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3EB9FF11"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007B1442" w14:textId="77777777" w:rsidR="00416EBD" w:rsidRPr="00EE69F5" w:rsidRDefault="00416EBD" w:rsidP="00416EBD">
      <w:r w:rsidRPr="00EE69F5">
        <w:t>Verification of Correction of Noncompliance</w:t>
      </w:r>
    </w:p>
    <w:p w14:paraId="0CC4DCBB" w14:textId="77777777" w:rsidR="007876EE" w:rsidRDefault="007876EE"/>
    <w:p w14:paraId="7754A09D" w14:textId="77777777" w:rsidR="007876EE" w:rsidRDefault="00000000">
      <w:r>
        <w:t xml:space="preserve">TEIS utilizes OSEP’s QA 23 01 guidance to ensure full alignment with federal requirements for identifying and correcting noncompliance through the State’s general supervision system. In FFY 2023, Tennessee Early Intervention System (TEIS) utilized a pre finding correction process for Indicator 7. This practice was discontinued beginning in FFY 2024. </w:t>
      </w:r>
    </w:p>
    <w:p w14:paraId="04A29299" w14:textId="77777777" w:rsidR="007876EE" w:rsidRDefault="007876EE"/>
    <w:p w14:paraId="6BDEB47F" w14:textId="77777777" w:rsidR="007876EE" w:rsidRDefault="00000000">
      <w:r>
        <w:t>Identification of Noncompliance</w:t>
      </w:r>
    </w:p>
    <w:p w14:paraId="59BF5FD3" w14:textId="77777777" w:rsidR="007876EE" w:rsidRDefault="007876EE"/>
    <w:p w14:paraId="1DCC0CE1" w14:textId="77777777" w:rsidR="007876EE" w:rsidRDefault="00000000">
      <w:r>
        <w:t xml:space="preserve">As part of TEIS’s annual monitoring activities, the State reviewed full census data for all potentially eligible children exiting Part C between </w:t>
      </w:r>
      <w:proofErr w:type="gramStart"/>
      <w:r>
        <w:t>July?1,?</w:t>
      </w:r>
      <w:proofErr w:type="gramEnd"/>
      <w:r>
        <w:t xml:space="preserve">2023, and </w:t>
      </w:r>
      <w:proofErr w:type="gramStart"/>
      <w:r>
        <w:t>June?30,?</w:t>
      </w:r>
      <w:proofErr w:type="gramEnd"/>
      <w:r>
        <w:t>2024. During this review, TEIS identified two children—served by two different EIS programs—with untimely SEA/LEA notifications. In both cases, the delays were attributable to Service Coordinator data entry errors. TEIS verified that each instance was corrected at the child level in accordance with federal requirements.</w:t>
      </w:r>
    </w:p>
    <w:p w14:paraId="3816C471" w14:textId="77777777" w:rsidR="007876EE" w:rsidRDefault="007876EE"/>
    <w:p w14:paraId="5C7AFF70" w14:textId="77777777" w:rsidR="007876EE" w:rsidRDefault="00000000">
      <w:r>
        <w:t>Correction of Noncompliance</w:t>
      </w:r>
    </w:p>
    <w:p w14:paraId="75A6441A" w14:textId="77777777" w:rsidR="007876EE" w:rsidRDefault="007876EE"/>
    <w:p w14:paraId="068F802D" w14:textId="77777777" w:rsidR="007876EE" w:rsidRDefault="00000000">
      <w:r>
        <w:t>TEIS conducted a subsequent monthly data review to verify that the two EIS programs demonstrated compliance at both the systemic and child levels. Monthly data for July?2024 were reviewed, and TEIS confirmed that both EIS programs were 100% compliant. There were no untimely LEA/SEA notifications. TEIS verified that the programs were correctly implementing the notification requirement and were fully compliant moving forward.</w:t>
      </w:r>
    </w:p>
    <w:p w14:paraId="4A34F306" w14:textId="77777777" w:rsidR="007876EE" w:rsidRDefault="007876EE"/>
    <w:p w14:paraId="6C5BFB41" w14:textId="77777777" w:rsidR="007876EE" w:rsidRDefault="00000000">
      <w:r>
        <w:t>Verification of Full Compliance</w:t>
      </w:r>
    </w:p>
    <w:p w14:paraId="1FC2D0CB" w14:textId="77777777" w:rsidR="007876EE" w:rsidRDefault="007876EE"/>
    <w:p w14:paraId="0FD0D00B" w14:textId="77777777" w:rsidR="007876EE" w:rsidRDefault="00000000">
      <w:r>
        <w:t xml:space="preserve">TEIS verified 100% compliance for both of the </w:t>
      </w:r>
      <w:proofErr w:type="gramStart"/>
      <w:r>
        <w:t>EIS</w:t>
      </w:r>
      <w:proofErr w:type="gramEnd"/>
      <w:r>
        <w:t xml:space="preserve"> </w:t>
      </w:r>
      <w:proofErr w:type="gramStart"/>
      <w:r>
        <w:t>programs</w:t>
      </w:r>
      <w:proofErr w:type="gramEnd"/>
      <w:r>
        <w:t xml:space="preserve"> not initially 100% compliant. In accordance with TEIS’s pre-finding correction practices effective in FFY 2023 and OSEP’s 23-01 guidance, these EIS programs were verified as 100% compliant prior to the issuance of findings of noncompliance; therefore, no Indicator 8B findings were issued for these programs. </w:t>
      </w:r>
    </w:p>
    <w:p w14:paraId="58C9F6BC" w14:textId="77777777"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BPPFFYNCFINDINGS"/>
      </w:tblPr>
      <w:tblGrid>
        <w:gridCol w:w="2005"/>
        <w:gridCol w:w="3185"/>
        <w:gridCol w:w="2857"/>
        <w:gridCol w:w="2743"/>
      </w:tblGrid>
      <w:tr w:rsidR="00ED172B" w:rsidRPr="00ED172B" w14:paraId="4FB03877" w14:textId="77777777" w:rsidTr="00986B99">
        <w:trPr>
          <w:tblHeader/>
        </w:trPr>
        <w:tc>
          <w:tcPr>
            <w:tcW w:w="929" w:type="pct"/>
            <w:vAlign w:val="bottom"/>
          </w:tcPr>
          <w:p w14:paraId="570B61B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vAlign w:val="bottom"/>
          </w:tcPr>
          <w:p w14:paraId="6AB1688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24" w:type="pct"/>
            <w:vAlign w:val="bottom"/>
          </w:tcPr>
          <w:p w14:paraId="3303C6DB"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vAlign w:val="bottom"/>
          </w:tcPr>
          <w:p w14:paraId="32F081CC"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96A728E" w14:textId="77777777" w:rsidTr="00986B99">
        <w:tc>
          <w:tcPr>
            <w:tcW w:w="929" w:type="pct"/>
          </w:tcPr>
          <w:p w14:paraId="36730067" w14:textId="77777777" w:rsidR="008203B4" w:rsidRPr="00ED172B" w:rsidRDefault="008203B4" w:rsidP="00D21F29">
            <w:pPr>
              <w:jc w:val="center"/>
              <w:rPr>
                <w:rFonts w:cs="Arial"/>
                <w:color w:val="000000" w:themeColor="text1"/>
                <w:szCs w:val="16"/>
              </w:rPr>
            </w:pPr>
          </w:p>
        </w:tc>
        <w:tc>
          <w:tcPr>
            <w:tcW w:w="1476" w:type="pct"/>
          </w:tcPr>
          <w:p w14:paraId="74E33AB8" w14:textId="77777777" w:rsidR="008203B4" w:rsidRPr="00ED172B" w:rsidRDefault="008203B4" w:rsidP="00CD79C5">
            <w:pPr>
              <w:jc w:val="center"/>
              <w:rPr>
                <w:rFonts w:cs="Arial"/>
                <w:noProof/>
                <w:color w:val="000000" w:themeColor="text1"/>
                <w:szCs w:val="16"/>
              </w:rPr>
            </w:pPr>
          </w:p>
        </w:tc>
        <w:tc>
          <w:tcPr>
            <w:tcW w:w="1324" w:type="pct"/>
          </w:tcPr>
          <w:p w14:paraId="4C5093BD" w14:textId="77777777" w:rsidR="008203B4" w:rsidRPr="00ED172B" w:rsidRDefault="008203B4" w:rsidP="00CD79C5">
            <w:pPr>
              <w:jc w:val="center"/>
              <w:rPr>
                <w:rFonts w:cs="Arial"/>
                <w:noProof/>
                <w:color w:val="000000" w:themeColor="text1"/>
                <w:szCs w:val="16"/>
              </w:rPr>
            </w:pPr>
          </w:p>
        </w:tc>
        <w:tc>
          <w:tcPr>
            <w:tcW w:w="1271" w:type="pct"/>
          </w:tcPr>
          <w:p w14:paraId="4A408CE8" w14:textId="77777777" w:rsidR="008203B4" w:rsidRPr="00ED172B" w:rsidRDefault="008203B4" w:rsidP="00CD79C5">
            <w:pPr>
              <w:jc w:val="center"/>
              <w:rPr>
                <w:rFonts w:cs="Arial"/>
                <w:noProof/>
                <w:color w:val="000000" w:themeColor="text1"/>
                <w:szCs w:val="16"/>
              </w:rPr>
            </w:pPr>
          </w:p>
        </w:tc>
      </w:tr>
      <w:tr w:rsidR="00ED172B" w:rsidRPr="00ED172B" w14:paraId="36576227" w14:textId="77777777" w:rsidTr="00986B99">
        <w:tc>
          <w:tcPr>
            <w:tcW w:w="929" w:type="pct"/>
          </w:tcPr>
          <w:p w14:paraId="73B975FE" w14:textId="77777777" w:rsidR="008203B4" w:rsidRPr="00ED172B" w:rsidRDefault="008203B4" w:rsidP="00D21F29">
            <w:pPr>
              <w:jc w:val="center"/>
              <w:rPr>
                <w:rFonts w:cs="Arial"/>
                <w:color w:val="000000" w:themeColor="text1"/>
                <w:szCs w:val="16"/>
              </w:rPr>
            </w:pPr>
          </w:p>
        </w:tc>
        <w:tc>
          <w:tcPr>
            <w:tcW w:w="1476" w:type="pct"/>
          </w:tcPr>
          <w:p w14:paraId="2CF08B42" w14:textId="77777777" w:rsidR="008203B4" w:rsidRPr="00ED172B" w:rsidRDefault="008203B4" w:rsidP="00CD79C5">
            <w:pPr>
              <w:jc w:val="center"/>
              <w:rPr>
                <w:rFonts w:cs="Arial"/>
                <w:noProof/>
                <w:color w:val="000000" w:themeColor="text1"/>
                <w:szCs w:val="16"/>
              </w:rPr>
            </w:pPr>
          </w:p>
        </w:tc>
        <w:tc>
          <w:tcPr>
            <w:tcW w:w="1324" w:type="pct"/>
          </w:tcPr>
          <w:p w14:paraId="231B31BA" w14:textId="77777777" w:rsidR="008203B4" w:rsidRPr="00ED172B" w:rsidRDefault="008203B4" w:rsidP="00CD79C5">
            <w:pPr>
              <w:jc w:val="center"/>
              <w:rPr>
                <w:rFonts w:cs="Arial"/>
                <w:noProof/>
                <w:color w:val="000000" w:themeColor="text1"/>
                <w:szCs w:val="16"/>
              </w:rPr>
            </w:pPr>
          </w:p>
        </w:tc>
        <w:tc>
          <w:tcPr>
            <w:tcW w:w="1271" w:type="pct"/>
          </w:tcPr>
          <w:p w14:paraId="654F82BC" w14:textId="77777777" w:rsidR="008203B4" w:rsidRPr="00ED172B" w:rsidRDefault="008203B4" w:rsidP="00CD79C5">
            <w:pPr>
              <w:jc w:val="center"/>
              <w:rPr>
                <w:rFonts w:cs="Arial"/>
                <w:noProof/>
                <w:color w:val="000000" w:themeColor="text1"/>
                <w:szCs w:val="16"/>
              </w:rPr>
            </w:pPr>
          </w:p>
        </w:tc>
      </w:tr>
      <w:tr w:rsidR="00ED172B" w:rsidRPr="00ED172B" w14:paraId="1F60B0EF" w14:textId="77777777" w:rsidTr="00986B99">
        <w:tc>
          <w:tcPr>
            <w:tcW w:w="929" w:type="pct"/>
          </w:tcPr>
          <w:p w14:paraId="515D55AC" w14:textId="77777777" w:rsidR="008203B4" w:rsidRPr="00ED172B" w:rsidRDefault="008203B4" w:rsidP="00D21F29">
            <w:pPr>
              <w:jc w:val="center"/>
              <w:rPr>
                <w:rFonts w:cs="Arial"/>
                <w:color w:val="000000" w:themeColor="text1"/>
                <w:szCs w:val="16"/>
              </w:rPr>
            </w:pPr>
          </w:p>
        </w:tc>
        <w:tc>
          <w:tcPr>
            <w:tcW w:w="1476" w:type="pct"/>
          </w:tcPr>
          <w:p w14:paraId="04AC89B8" w14:textId="77777777" w:rsidR="008203B4" w:rsidRPr="00ED172B" w:rsidRDefault="008203B4" w:rsidP="00CD79C5">
            <w:pPr>
              <w:jc w:val="center"/>
              <w:rPr>
                <w:rFonts w:cs="Arial"/>
                <w:noProof/>
                <w:color w:val="000000" w:themeColor="text1"/>
                <w:szCs w:val="16"/>
              </w:rPr>
            </w:pPr>
          </w:p>
        </w:tc>
        <w:tc>
          <w:tcPr>
            <w:tcW w:w="1324" w:type="pct"/>
          </w:tcPr>
          <w:p w14:paraId="6A2C1056" w14:textId="77777777" w:rsidR="008203B4" w:rsidRPr="00ED172B" w:rsidRDefault="008203B4" w:rsidP="00CD79C5">
            <w:pPr>
              <w:jc w:val="center"/>
              <w:rPr>
                <w:rFonts w:cs="Arial"/>
                <w:noProof/>
                <w:color w:val="000000" w:themeColor="text1"/>
                <w:szCs w:val="16"/>
              </w:rPr>
            </w:pPr>
          </w:p>
        </w:tc>
        <w:tc>
          <w:tcPr>
            <w:tcW w:w="1271" w:type="pct"/>
          </w:tcPr>
          <w:p w14:paraId="377BB1CC" w14:textId="77777777" w:rsidR="008203B4" w:rsidRPr="00ED172B" w:rsidRDefault="008203B4" w:rsidP="00CD79C5">
            <w:pPr>
              <w:jc w:val="center"/>
              <w:rPr>
                <w:rFonts w:cs="Arial"/>
                <w:noProof/>
                <w:color w:val="000000" w:themeColor="text1"/>
                <w:szCs w:val="16"/>
              </w:rPr>
            </w:pPr>
          </w:p>
        </w:tc>
      </w:tr>
      <w:tr w:rsidR="00422BEE" w:rsidRPr="00ED172B" w14:paraId="1725AAFC" w14:textId="77777777" w:rsidTr="00986B99">
        <w:tc>
          <w:tcPr>
            <w:tcW w:w="929" w:type="pct"/>
          </w:tcPr>
          <w:p w14:paraId="5B7081C9" w14:textId="77777777" w:rsidR="00422BEE" w:rsidRPr="00ED172B" w:rsidRDefault="00422BEE" w:rsidP="00D21F29">
            <w:pPr>
              <w:jc w:val="center"/>
              <w:rPr>
                <w:rFonts w:cs="Arial"/>
                <w:color w:val="000000" w:themeColor="text1"/>
                <w:szCs w:val="16"/>
              </w:rPr>
            </w:pPr>
          </w:p>
        </w:tc>
        <w:tc>
          <w:tcPr>
            <w:tcW w:w="1476" w:type="pct"/>
          </w:tcPr>
          <w:p w14:paraId="062FE85F" w14:textId="77777777" w:rsidR="00422BEE" w:rsidRPr="00ED172B" w:rsidRDefault="00422BEE" w:rsidP="00422BEE">
            <w:pPr>
              <w:jc w:val="center"/>
              <w:rPr>
                <w:rFonts w:cs="Arial"/>
                <w:color w:val="000000" w:themeColor="text1"/>
                <w:szCs w:val="16"/>
              </w:rPr>
            </w:pPr>
          </w:p>
        </w:tc>
        <w:tc>
          <w:tcPr>
            <w:tcW w:w="1324" w:type="pct"/>
          </w:tcPr>
          <w:p w14:paraId="76F22AA6" w14:textId="77777777" w:rsidR="00422BEE" w:rsidRPr="00ED172B" w:rsidRDefault="00422BEE" w:rsidP="00422BEE">
            <w:pPr>
              <w:jc w:val="center"/>
              <w:rPr>
                <w:rFonts w:cs="Arial"/>
                <w:color w:val="000000" w:themeColor="text1"/>
                <w:szCs w:val="16"/>
              </w:rPr>
            </w:pPr>
          </w:p>
        </w:tc>
        <w:tc>
          <w:tcPr>
            <w:tcW w:w="1271" w:type="pct"/>
          </w:tcPr>
          <w:p w14:paraId="435B0D9A" w14:textId="77777777" w:rsidR="00422BEE" w:rsidRPr="00ED172B" w:rsidRDefault="00422BEE" w:rsidP="00422BEE">
            <w:pPr>
              <w:jc w:val="center"/>
              <w:rPr>
                <w:rFonts w:cs="Arial"/>
                <w:color w:val="000000" w:themeColor="text1"/>
                <w:szCs w:val="16"/>
              </w:rPr>
            </w:pPr>
          </w:p>
        </w:tc>
      </w:tr>
      <w:tr w:rsidR="00422BEE" w:rsidRPr="00ED172B" w14:paraId="2DAF9BD9" w14:textId="77777777" w:rsidTr="00986B99">
        <w:tc>
          <w:tcPr>
            <w:tcW w:w="929" w:type="pct"/>
          </w:tcPr>
          <w:p w14:paraId="1B1D3774" w14:textId="77777777" w:rsidR="00422BEE" w:rsidRPr="00ED172B" w:rsidRDefault="00422BEE" w:rsidP="00D21F29">
            <w:pPr>
              <w:jc w:val="center"/>
              <w:rPr>
                <w:rFonts w:cs="Arial"/>
                <w:color w:val="000000" w:themeColor="text1"/>
                <w:szCs w:val="16"/>
              </w:rPr>
            </w:pPr>
          </w:p>
        </w:tc>
        <w:tc>
          <w:tcPr>
            <w:tcW w:w="1476" w:type="pct"/>
          </w:tcPr>
          <w:p w14:paraId="4AE50F91" w14:textId="77777777" w:rsidR="00422BEE" w:rsidRPr="00ED172B" w:rsidRDefault="00422BEE" w:rsidP="00422BEE">
            <w:pPr>
              <w:jc w:val="center"/>
              <w:rPr>
                <w:rFonts w:cs="Arial"/>
                <w:color w:val="000000" w:themeColor="text1"/>
                <w:szCs w:val="16"/>
              </w:rPr>
            </w:pPr>
          </w:p>
        </w:tc>
        <w:tc>
          <w:tcPr>
            <w:tcW w:w="1324" w:type="pct"/>
          </w:tcPr>
          <w:p w14:paraId="509310E1" w14:textId="77777777" w:rsidR="00422BEE" w:rsidRPr="00ED172B" w:rsidRDefault="00422BEE" w:rsidP="00422BEE">
            <w:pPr>
              <w:jc w:val="center"/>
              <w:rPr>
                <w:rFonts w:cs="Arial"/>
                <w:color w:val="000000" w:themeColor="text1"/>
                <w:szCs w:val="16"/>
              </w:rPr>
            </w:pPr>
          </w:p>
        </w:tc>
        <w:tc>
          <w:tcPr>
            <w:tcW w:w="1271" w:type="pct"/>
          </w:tcPr>
          <w:p w14:paraId="34FB7476" w14:textId="77777777" w:rsidR="00422BEE" w:rsidRPr="00ED172B" w:rsidRDefault="00422BEE" w:rsidP="00422BEE">
            <w:pPr>
              <w:jc w:val="center"/>
              <w:rPr>
                <w:rFonts w:cs="Arial"/>
                <w:color w:val="000000" w:themeColor="text1"/>
                <w:szCs w:val="16"/>
              </w:rPr>
            </w:pPr>
          </w:p>
        </w:tc>
      </w:tr>
    </w:tbl>
    <w:p w14:paraId="44FAAA86" w14:textId="77777777" w:rsidR="008203B4" w:rsidRPr="00A40EE1" w:rsidRDefault="000D0117" w:rsidP="007B0787">
      <w:pPr>
        <w:pStyle w:val="Heading2"/>
      </w:pPr>
      <w:r w:rsidRPr="00A40EE1">
        <w:t xml:space="preserve">8B - </w:t>
      </w:r>
      <w:r w:rsidR="008203B4" w:rsidRPr="00A40EE1">
        <w:t>Prior FFY Required Actions</w:t>
      </w:r>
    </w:p>
    <w:p w14:paraId="5F6CB696" w14:textId="77777777" w:rsidR="004C1CEE" w:rsidRPr="00ED172B" w:rsidRDefault="00320806" w:rsidP="008203B4">
      <w:pPr>
        <w:rPr>
          <w:rFonts w:cs="Arial"/>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w:t>
      </w:r>
      <w:proofErr w:type="gramStart"/>
      <w:r w:rsidRPr="00ED172B">
        <w:rPr>
          <w:color w:val="000000" w:themeColor="text1"/>
        </w:rPr>
        <w:t>reflect</w:t>
      </w:r>
      <w:proofErr w:type="gramEnd"/>
      <w:r w:rsidRPr="00ED172B">
        <w:rPr>
          <w:color w:val="000000" w:themeColor="text1"/>
        </w:rPr>
        <w:t xml:space="preserve">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68A58583" w14:textId="77777777" w:rsidR="008203B4" w:rsidRPr="00ED172B" w:rsidRDefault="008203B4"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30FFD772" w14:textId="77777777" w:rsidR="004C1CEE" w:rsidRPr="00ED172B" w:rsidRDefault="00027F39" w:rsidP="00027F39">
      <w:pPr>
        <w:rPr>
          <w:color w:val="000000" w:themeColor="text1"/>
        </w:rPr>
      </w:pPr>
      <w:r w:rsidRPr="00ED172B">
        <w:rPr>
          <w:color w:val="000000" w:themeColor="text1"/>
        </w:rPr>
        <w:t>The State has revised and expanded the section describing its pre finding correction process in FFY 2023 for this indicator. The updated narrative provides a clearer explanation of how TEIS ensured full alignment with OSEP QA 23 01, including (1) verification that each EIS program correctly implemented the regulatory requirements based on subsequently collected data, and (2) confirmation that each individual instance of noncompliance was corrected unless the child was no longer within the program’s jurisdiction. The revised description now explicitly details the data sources reviewed, the monthly verification steps used to confirm both child level and systemic correction, and how TEIS determined that programs achieved 100% compliance prior to the issuance of findings.</w:t>
      </w:r>
    </w:p>
    <w:p w14:paraId="61F8F69F" w14:textId="77777777" w:rsidR="008203B4" w:rsidRPr="00A40EE1" w:rsidRDefault="000D0117" w:rsidP="007B0787">
      <w:pPr>
        <w:pStyle w:val="Heading2"/>
      </w:pPr>
      <w:r w:rsidRPr="00A40EE1">
        <w:lastRenderedPageBreak/>
        <w:t xml:space="preserve">8B - </w:t>
      </w:r>
      <w:r w:rsidR="008203B4" w:rsidRPr="00A40EE1">
        <w:t>OSEP Response</w:t>
      </w:r>
    </w:p>
    <w:p w14:paraId="271A132C" w14:textId="77777777" w:rsidR="008203B4" w:rsidRPr="00ED172B" w:rsidRDefault="00320806" w:rsidP="00320806">
      <w:pPr>
        <w:rPr>
          <w:color w:val="000000" w:themeColor="text1"/>
        </w:rPr>
      </w:pPr>
      <w:r w:rsidRPr="00ED172B">
        <w:rPr>
          <w:color w:val="000000" w:themeColor="text1"/>
        </w:rPr>
        <w:t>The State's FFY 2023 data for this indicator reflected less than 100% compliance. The State reported that it did not identify any findings of noncompliance in FFY 2023 because it corrected the noncompliance prior to the issuance of findings. However, OSEP could not determine if the State ensured, consistent with OSEP QA 23-01, that each EIS program or provider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w:t>
      </w:r>
    </w:p>
    <w:p w14:paraId="2E5E378F" w14:textId="77777777" w:rsidR="008203B4" w:rsidRPr="00A40EE1" w:rsidRDefault="000D0117" w:rsidP="007B0787">
      <w:pPr>
        <w:pStyle w:val="Heading2"/>
      </w:pPr>
      <w:r w:rsidRPr="00A40EE1">
        <w:t xml:space="preserve">8B - </w:t>
      </w:r>
      <w:r w:rsidR="008203B4" w:rsidRPr="00A40EE1">
        <w:t>Required Actions</w:t>
      </w:r>
    </w:p>
    <w:p w14:paraId="6F8621BE" w14:textId="77777777" w:rsidR="00D77E41" w:rsidRPr="00ED172B" w:rsidRDefault="00D77E41" w:rsidP="00811738">
      <w:pPr>
        <w:rPr>
          <w:rFonts w:eastAsiaTheme="majorEastAsia" w:cstheme="majorBidi"/>
          <w:b/>
          <w:bCs/>
          <w:color w:val="000000" w:themeColor="text1"/>
          <w:sz w:val="20"/>
          <w:szCs w:val="26"/>
        </w:rPr>
      </w:pPr>
      <w:r w:rsidRPr="00ED172B">
        <w:rPr>
          <w:color w:val="000000" w:themeColor="text1"/>
        </w:rPr>
        <w:br w:type="page"/>
      </w:r>
    </w:p>
    <w:p w14:paraId="07C96A17" w14:textId="77777777"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54F7B5C4"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3E050FFF" w14:textId="77777777"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634383C6"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The percentage of toddlers with disabilities </w:t>
      </w:r>
      <w:proofErr w:type="gramStart"/>
      <w:r w:rsidRPr="00ED172B">
        <w:rPr>
          <w:color w:val="000000" w:themeColor="text1"/>
          <w:szCs w:val="16"/>
        </w:rPr>
        <w:t>exiting</w:t>
      </w:r>
      <w:proofErr w:type="gramEnd"/>
      <w:r w:rsidRPr="00ED172B">
        <w:rPr>
          <w:color w:val="000000" w:themeColor="text1"/>
          <w:szCs w:val="16"/>
        </w:rPr>
        <w:t xml:space="preserve"> Part C with timely transition planning for whom the Lead Agency has:</w:t>
      </w:r>
    </w:p>
    <w:p w14:paraId="3023307A" w14:textId="77777777" w:rsidR="00D77E41" w:rsidRPr="00ED172B" w:rsidRDefault="007F55E8" w:rsidP="00ED172B">
      <w:pPr>
        <w:ind w:left="360"/>
        <w:rPr>
          <w:color w:val="000000" w:themeColor="text1"/>
          <w:szCs w:val="16"/>
        </w:rPr>
      </w:pPr>
      <w:r w:rsidRPr="00ED172B">
        <w:rPr>
          <w:color w:val="000000" w:themeColor="text1"/>
          <w:szCs w:val="16"/>
        </w:rPr>
        <w:t xml:space="preserve">A. Developed an IFSP with transition steps and services at least 90 days, and at the discretion of all parties, not more than nine months, prior to the toddler’s third </w:t>
      </w:r>
      <w:proofErr w:type="gramStart"/>
      <w:r w:rsidRPr="00ED172B">
        <w:rPr>
          <w:color w:val="000000" w:themeColor="text1"/>
          <w:szCs w:val="16"/>
        </w:rPr>
        <w:t>birthday;</w:t>
      </w:r>
      <w:proofErr w:type="gramEnd"/>
    </w:p>
    <w:p w14:paraId="5107813A" w14:textId="77777777"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7F55DCC" w14:textId="77777777" w:rsidR="00D77E41" w:rsidRPr="00ED172B" w:rsidRDefault="007F55E8" w:rsidP="00ED172B">
      <w:pPr>
        <w:ind w:left="360"/>
        <w:rPr>
          <w:color w:val="000000" w:themeColor="text1"/>
          <w:szCs w:val="16"/>
        </w:rPr>
      </w:pPr>
      <w:r w:rsidRPr="00ED172B">
        <w:rPr>
          <w:color w:val="000000" w:themeColor="text1"/>
          <w:szCs w:val="16"/>
        </w:rPr>
        <w:t xml:space="preserve">C. Conducted the transition conference held with the approval of the </w:t>
      </w:r>
      <w:proofErr w:type="gramStart"/>
      <w:r w:rsidRPr="00ED172B">
        <w:rPr>
          <w:color w:val="000000" w:themeColor="text1"/>
          <w:szCs w:val="16"/>
        </w:rPr>
        <w:t>family</w:t>
      </w:r>
      <w:proofErr w:type="gramEnd"/>
      <w:r w:rsidRPr="00ED172B">
        <w:rPr>
          <w:color w:val="000000" w:themeColor="text1"/>
          <w:szCs w:val="16"/>
        </w:rPr>
        <w:t xml:space="preserve"> at least 90 days, and at the discretion of all parties, not more than nine months, prior to the toddler’s third birthday for toddlers potentially eligible for Part B preschool services.</w:t>
      </w:r>
    </w:p>
    <w:p w14:paraId="0B1C18C7"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4FEF5093" w14:textId="77777777" w:rsidR="00D77E41" w:rsidRPr="00ED172B" w:rsidRDefault="00D77E41">
      <w:pPr>
        <w:rPr>
          <w:b/>
          <w:color w:val="000000" w:themeColor="text1"/>
        </w:rPr>
      </w:pPr>
      <w:r w:rsidRPr="00ED172B">
        <w:rPr>
          <w:b/>
          <w:color w:val="000000" w:themeColor="text1"/>
        </w:rPr>
        <w:t>Data Source</w:t>
      </w:r>
    </w:p>
    <w:p w14:paraId="2AF2FFC7"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474B501B" w14:textId="77777777" w:rsidR="00D77E41" w:rsidRPr="00ED172B" w:rsidRDefault="00D77E41">
      <w:pPr>
        <w:rPr>
          <w:b/>
          <w:color w:val="000000" w:themeColor="text1"/>
        </w:rPr>
      </w:pPr>
      <w:r w:rsidRPr="00ED172B">
        <w:rPr>
          <w:b/>
          <w:color w:val="000000" w:themeColor="text1"/>
        </w:rPr>
        <w:t>Measurement</w:t>
      </w:r>
    </w:p>
    <w:p w14:paraId="2F4CFB58" w14:textId="77777777" w:rsidR="00D77E41" w:rsidRPr="00ED172B" w:rsidRDefault="007F55E8" w:rsidP="00ED172B">
      <w:pPr>
        <w:ind w:left="360"/>
        <w:rPr>
          <w:color w:val="000000" w:themeColor="text1"/>
          <w:szCs w:val="16"/>
        </w:rPr>
      </w:pPr>
      <w:r w:rsidRPr="00ED172B">
        <w:rPr>
          <w:color w:val="000000" w:themeColor="text1"/>
          <w:szCs w:val="16"/>
        </w:rPr>
        <w:t xml:space="preserve">A. Percent = </w:t>
      </w:r>
      <w:proofErr w:type="gramStart"/>
      <w:r w:rsidRPr="00ED172B">
        <w:rPr>
          <w:color w:val="000000" w:themeColor="text1"/>
          <w:szCs w:val="16"/>
        </w:rPr>
        <w:t xml:space="preserve">[(# </w:t>
      </w:r>
      <w:proofErr w:type="gramEnd"/>
      <w:r w:rsidRPr="00ED172B">
        <w:rPr>
          <w:color w:val="000000" w:themeColor="text1"/>
          <w:szCs w:val="16"/>
        </w:rPr>
        <w:t xml:space="preserve">of toddlers with disabilities exiting Part C at age 3 who have an IFSP with transition steps and services at least 90 days, and at the discretion of all parties not more than nine months, prior to their third birthday) divided by </w:t>
      </w:r>
      <w:proofErr w:type="gramStart"/>
      <w:r w:rsidRPr="00ED172B">
        <w:rPr>
          <w:color w:val="000000" w:themeColor="text1"/>
          <w:szCs w:val="16"/>
        </w:rPr>
        <w:t xml:space="preserve">the (# </w:t>
      </w:r>
      <w:proofErr w:type="gramEnd"/>
      <w:r w:rsidRPr="00ED172B">
        <w:rPr>
          <w:color w:val="000000" w:themeColor="text1"/>
          <w:szCs w:val="16"/>
        </w:rPr>
        <w:t>of toddlers with disabilities exiting Part C at age 3)] times 100.</w:t>
      </w:r>
    </w:p>
    <w:p w14:paraId="37532926" w14:textId="77777777"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0C5E69E7" w14:textId="77777777"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1D11874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447E9544" w14:textId="77777777" w:rsidR="00D77E41" w:rsidRPr="00ED172B" w:rsidRDefault="00D77E41">
      <w:pPr>
        <w:rPr>
          <w:b/>
          <w:color w:val="000000" w:themeColor="text1"/>
        </w:rPr>
      </w:pPr>
      <w:r w:rsidRPr="00ED172B">
        <w:rPr>
          <w:b/>
          <w:color w:val="000000" w:themeColor="text1"/>
        </w:rPr>
        <w:t>Instructions</w:t>
      </w:r>
    </w:p>
    <w:p w14:paraId="47312493"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4354F132"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2CB5E42E" w14:textId="77777777" w:rsidR="00D77E41" w:rsidRPr="00ED172B" w:rsidRDefault="00D77E41" w:rsidP="00D77E41">
      <w:pPr>
        <w:rPr>
          <w:color w:val="000000" w:themeColor="text1"/>
          <w:szCs w:val="16"/>
        </w:rPr>
      </w:pPr>
      <w:r w:rsidRPr="00ED172B">
        <w:rPr>
          <w:color w:val="000000" w:themeColor="text1"/>
          <w:szCs w:val="16"/>
        </w:rPr>
        <w:t xml:space="preserve">Indicators 8A and 8C: If data </w:t>
      </w:r>
      <w:proofErr w:type="gramStart"/>
      <w:r w:rsidRPr="00ED172B">
        <w:rPr>
          <w:color w:val="000000" w:themeColor="text1"/>
          <w:szCs w:val="16"/>
        </w:rPr>
        <w:t>are</w:t>
      </w:r>
      <w:proofErr w:type="gramEnd"/>
      <w:r w:rsidRPr="00ED172B">
        <w:rPr>
          <w:color w:val="000000" w:themeColor="text1"/>
          <w:szCs w:val="16"/>
        </w:rPr>
        <w:t xml:space="preserve"> from the State’s monitoring, describe the procedures used to collect these data. If data are from State monitoring, also describe the method used to select EIS programs for monitoring. If data are from a </w:t>
      </w:r>
      <w:proofErr w:type="gramStart"/>
      <w:r w:rsidRPr="00ED172B">
        <w:rPr>
          <w:color w:val="000000" w:themeColor="text1"/>
          <w:szCs w:val="16"/>
        </w:rPr>
        <w:t>State</w:t>
      </w:r>
      <w:proofErr w:type="gramEnd"/>
      <w:r w:rsidRPr="00ED172B">
        <w:rPr>
          <w:color w:val="000000" w:themeColor="text1"/>
          <w:szCs w:val="16"/>
        </w:rPr>
        <w:t xml:space="preserve"> database, describe the </w:t>
      </w:r>
      <w:proofErr w:type="gramStart"/>
      <w:r w:rsidRPr="00ED172B">
        <w:rPr>
          <w:color w:val="000000" w:themeColor="text1"/>
          <w:szCs w:val="16"/>
        </w:rPr>
        <w:t>time period</w:t>
      </w:r>
      <w:proofErr w:type="gramEnd"/>
      <w:r w:rsidRPr="00ED172B">
        <w:rPr>
          <w:color w:val="000000" w:themeColor="text1"/>
          <w:szCs w:val="16"/>
        </w:rPr>
        <w:t xml:space="preserve"> in which the data were collected (e.g., September through December, fourth quarter, selection from the full reporting period) and how the data accurately reflect data for infants and toddlers with IFSPs for the full reporting period.</w:t>
      </w:r>
    </w:p>
    <w:p w14:paraId="58FF8A75" w14:textId="77777777" w:rsidR="00D77E41" w:rsidRDefault="00D77E41" w:rsidP="00D77E41">
      <w:pPr>
        <w:rPr>
          <w:color w:val="000000" w:themeColor="text1"/>
          <w:szCs w:val="16"/>
        </w:rPr>
      </w:pPr>
      <w:r w:rsidRPr="00ED172B">
        <w:rPr>
          <w:color w:val="000000" w:themeColor="text1"/>
          <w:szCs w:val="16"/>
        </w:rPr>
        <w:t xml:space="preserve">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w:t>
      </w:r>
      <w:proofErr w:type="gramStart"/>
      <w:r w:rsidRPr="00ED172B">
        <w:rPr>
          <w:color w:val="000000" w:themeColor="text1"/>
          <w:szCs w:val="16"/>
        </w:rPr>
        <w:t>for</w:t>
      </w:r>
      <w:proofErr w:type="gramEnd"/>
      <w:r w:rsidRPr="00ED172B">
        <w:rPr>
          <w:color w:val="000000" w:themeColor="text1"/>
          <w:szCs w:val="16"/>
        </w:rPr>
        <w:t xml:space="preserve">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E6F8ADC" w14:textId="77777777" w:rsidR="0060440D" w:rsidRPr="00EC51AB" w:rsidRDefault="0060440D" w:rsidP="00D77E41">
      <w:pPr>
        <w:rPr>
          <w:szCs w:val="16"/>
        </w:rPr>
      </w:pPr>
      <w:r w:rsidRPr="00EC51AB">
        <w:rPr>
          <w:szCs w:val="16"/>
        </w:rPr>
        <w:t xml:space="preserve">Indicator 8A: The measurement is intended to capture those children </w:t>
      </w:r>
      <w:proofErr w:type="gramStart"/>
      <w:r w:rsidRPr="00EC51AB">
        <w:rPr>
          <w:szCs w:val="16"/>
        </w:rPr>
        <w:t>exiting</w:t>
      </w:r>
      <w:proofErr w:type="gramEnd"/>
      <w:r w:rsidRPr="00EC51AB">
        <w:rPr>
          <w:szCs w:val="16"/>
        </w:rPr>
        <w:t xml:space="preserve">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782F0A63"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3FAE6A75"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2136D2F6"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4F47F3A5"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65AD756" w14:textId="77777777"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3603C247" w14:textId="77777777"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4940F4EF" w14:textId="77777777" w:rsidR="00D77E41" w:rsidRPr="00A40EE1" w:rsidRDefault="000D0117" w:rsidP="007B0787">
      <w:pPr>
        <w:pStyle w:val="Heading2"/>
      </w:pPr>
      <w:r w:rsidRPr="00A40EE1">
        <w:t xml:space="preserve">8C - </w:t>
      </w:r>
      <w:r w:rsidR="00D77E41" w:rsidRPr="00A40EE1">
        <w:t>Indicator Data</w:t>
      </w:r>
    </w:p>
    <w:p w14:paraId="5C01582E" w14:textId="7777777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2899"/>
        <w:gridCol w:w="875"/>
      </w:tblGrid>
      <w:tr w:rsidR="00C25621" w:rsidRPr="00ED172B" w14:paraId="18A25EAD" w14:textId="77777777" w:rsidTr="00A40EE1">
        <w:trPr>
          <w:trHeight w:val="350"/>
          <w:tblHeader/>
        </w:trPr>
        <w:tc>
          <w:tcPr>
            <w:tcW w:w="4285" w:type="pct"/>
            <w:tcBorders>
              <w:bottom w:val="single" w:sz="4" w:space="0" w:color="auto"/>
            </w:tcBorders>
            <w:vAlign w:val="center"/>
          </w:tcPr>
          <w:p w14:paraId="3AA0B102"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41B35A7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1D7B2A77" w14:textId="77777777" w:rsidTr="00A40EE1">
        <w:trPr>
          <w:trHeight w:val="350"/>
        </w:trPr>
        <w:tc>
          <w:tcPr>
            <w:tcW w:w="4285" w:type="pct"/>
            <w:tcBorders>
              <w:bottom w:val="single" w:sz="4" w:space="0" w:color="auto"/>
            </w:tcBorders>
            <w:vAlign w:val="center"/>
          </w:tcPr>
          <w:p w14:paraId="2816C55A" w14:textId="77777777" w:rsidR="000378F3" w:rsidRPr="00ED172B" w:rsidRDefault="000378F3" w:rsidP="000378F3">
            <w:pPr>
              <w:jc w:val="center"/>
              <w:rPr>
                <w:b/>
                <w:color w:val="000000" w:themeColor="text1"/>
              </w:rPr>
            </w:pPr>
            <w:r w:rsidRPr="00ED172B">
              <w:rPr>
                <w:color w:val="000000" w:themeColor="text1"/>
              </w:rPr>
              <w:t>2023</w:t>
            </w:r>
          </w:p>
        </w:tc>
        <w:tc>
          <w:tcPr>
            <w:tcW w:w="715" w:type="pct"/>
            <w:vAlign w:val="center"/>
          </w:tcPr>
          <w:p w14:paraId="0C9DD182" w14:textId="77777777" w:rsidR="000378F3" w:rsidRPr="00ED172B" w:rsidRDefault="000378F3" w:rsidP="000378F3">
            <w:pPr>
              <w:jc w:val="center"/>
              <w:rPr>
                <w:color w:val="000000" w:themeColor="text1"/>
              </w:rPr>
            </w:pPr>
            <w:r w:rsidRPr="00ED172B">
              <w:rPr>
                <w:color w:val="000000" w:themeColor="text1"/>
              </w:rPr>
              <w:t>100.00%</w:t>
            </w:r>
          </w:p>
        </w:tc>
      </w:tr>
    </w:tbl>
    <w:p w14:paraId="1918E097"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684"/>
        <w:gridCol w:w="2022"/>
        <w:gridCol w:w="2022"/>
        <w:gridCol w:w="2022"/>
        <w:gridCol w:w="2022"/>
        <w:gridCol w:w="2018"/>
      </w:tblGrid>
      <w:tr w:rsidR="00ED172B" w:rsidRPr="00ED172B" w14:paraId="04E7E6CE" w14:textId="77777777" w:rsidTr="00A40EE1">
        <w:trPr>
          <w:trHeight w:val="350"/>
        </w:trPr>
        <w:tc>
          <w:tcPr>
            <w:tcW w:w="317" w:type="pct"/>
            <w:tcBorders>
              <w:bottom w:val="single" w:sz="4" w:space="0" w:color="auto"/>
            </w:tcBorders>
          </w:tcPr>
          <w:p w14:paraId="6A6CADA9"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664F1E0F" w14:textId="77777777"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04411459" w14:textId="77777777"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4FB64737" w14:textId="77777777"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1ED6DB41" w14:textId="77777777"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33A61106" w14:textId="77777777"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4C861933" w14:textId="77777777" w:rsidTr="00A40EE1">
        <w:trPr>
          <w:trHeight w:val="357"/>
        </w:trPr>
        <w:tc>
          <w:tcPr>
            <w:tcW w:w="317" w:type="pct"/>
          </w:tcPr>
          <w:p w14:paraId="4F8E1539" w14:textId="77777777"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18D101E1"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2541C3DF"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6703FF27"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1F605D67" w14:textId="7777777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4EEBF0EA" w14:textId="77777777"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3D607BE6" w14:textId="77777777" w:rsidTr="00A40EE1">
        <w:trPr>
          <w:trHeight w:val="85"/>
        </w:trPr>
        <w:tc>
          <w:tcPr>
            <w:tcW w:w="317" w:type="pct"/>
          </w:tcPr>
          <w:p w14:paraId="4F818B59"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37CBBCA9" w14:textId="77777777" w:rsidR="00DC0682" w:rsidRPr="00ED172B" w:rsidRDefault="00860830" w:rsidP="00CD79C5">
            <w:pPr>
              <w:jc w:val="center"/>
              <w:rPr>
                <w:color w:val="000000" w:themeColor="text1"/>
                <w:szCs w:val="16"/>
              </w:rPr>
            </w:pPr>
            <w:r w:rsidRPr="00ED172B">
              <w:rPr>
                <w:rFonts w:cs="Arial"/>
                <w:color w:val="000000" w:themeColor="text1"/>
                <w:szCs w:val="16"/>
              </w:rPr>
              <w:t>98.66%</w:t>
            </w:r>
          </w:p>
        </w:tc>
        <w:tc>
          <w:tcPr>
            <w:tcW w:w="937" w:type="pct"/>
            <w:tcBorders>
              <w:bottom w:val="single" w:sz="4" w:space="0" w:color="auto"/>
            </w:tcBorders>
            <w:vAlign w:val="center"/>
          </w:tcPr>
          <w:p w14:paraId="1E116561" w14:textId="77777777" w:rsidR="00DC0682" w:rsidRPr="00ED172B" w:rsidRDefault="00860830" w:rsidP="00CD79C5">
            <w:pPr>
              <w:jc w:val="center"/>
              <w:rPr>
                <w:color w:val="000000" w:themeColor="text1"/>
                <w:szCs w:val="16"/>
              </w:rPr>
            </w:pPr>
            <w:r w:rsidRPr="00ED172B">
              <w:rPr>
                <w:rFonts w:cs="Arial"/>
                <w:color w:val="000000" w:themeColor="text1"/>
                <w:szCs w:val="16"/>
              </w:rPr>
              <w:t>96.76%</w:t>
            </w:r>
          </w:p>
        </w:tc>
        <w:tc>
          <w:tcPr>
            <w:tcW w:w="937" w:type="pct"/>
            <w:tcBorders>
              <w:bottom w:val="single" w:sz="4" w:space="0" w:color="auto"/>
            </w:tcBorders>
            <w:vAlign w:val="center"/>
          </w:tcPr>
          <w:p w14:paraId="1C6B06BE" w14:textId="77777777" w:rsidR="00DC0682" w:rsidRPr="00ED172B" w:rsidRDefault="00860830" w:rsidP="00CD79C5">
            <w:pPr>
              <w:jc w:val="center"/>
              <w:rPr>
                <w:color w:val="000000" w:themeColor="text1"/>
                <w:szCs w:val="16"/>
              </w:rPr>
            </w:pPr>
            <w:r w:rsidRPr="00ED172B">
              <w:rPr>
                <w:rFonts w:cs="Arial"/>
                <w:color w:val="000000" w:themeColor="text1"/>
                <w:szCs w:val="16"/>
              </w:rPr>
              <w:t>99.74%</w:t>
            </w:r>
          </w:p>
        </w:tc>
        <w:tc>
          <w:tcPr>
            <w:tcW w:w="937" w:type="pct"/>
            <w:tcBorders>
              <w:bottom w:val="single" w:sz="4" w:space="0" w:color="auto"/>
            </w:tcBorders>
            <w:vAlign w:val="center"/>
          </w:tcPr>
          <w:p w14:paraId="50EE6BF5" w14:textId="77777777" w:rsidR="00DC0682" w:rsidRPr="00ED172B" w:rsidRDefault="00860830" w:rsidP="00CD79C5">
            <w:pPr>
              <w:jc w:val="center"/>
              <w:rPr>
                <w:color w:val="000000" w:themeColor="text1"/>
                <w:szCs w:val="16"/>
              </w:rPr>
            </w:pPr>
            <w:r w:rsidRPr="00ED172B">
              <w:rPr>
                <w:rFonts w:cs="Arial"/>
                <w:color w:val="000000" w:themeColor="text1"/>
                <w:szCs w:val="16"/>
              </w:rPr>
              <w:t>98.60%</w:t>
            </w:r>
          </w:p>
        </w:tc>
        <w:tc>
          <w:tcPr>
            <w:tcW w:w="937" w:type="pct"/>
            <w:tcBorders>
              <w:bottom w:val="single" w:sz="4" w:space="0" w:color="auto"/>
            </w:tcBorders>
            <w:vAlign w:val="center"/>
          </w:tcPr>
          <w:p w14:paraId="65B07409" w14:textId="77777777" w:rsidR="00DC0682" w:rsidRPr="00ED172B" w:rsidRDefault="00860830" w:rsidP="00CD79C5">
            <w:pPr>
              <w:jc w:val="center"/>
              <w:rPr>
                <w:color w:val="000000" w:themeColor="text1"/>
                <w:szCs w:val="16"/>
              </w:rPr>
            </w:pPr>
            <w:r w:rsidRPr="00ED172B">
              <w:rPr>
                <w:rFonts w:cs="Arial"/>
                <w:color w:val="000000" w:themeColor="text1"/>
                <w:szCs w:val="16"/>
              </w:rPr>
              <w:t>100.00%</w:t>
            </w:r>
          </w:p>
        </w:tc>
      </w:tr>
    </w:tbl>
    <w:p w14:paraId="397DFF58" w14:textId="77777777" w:rsidR="008A4FF2" w:rsidRPr="00ED172B" w:rsidRDefault="008A4FF2">
      <w:pPr>
        <w:rPr>
          <w:b/>
          <w:color w:val="000000" w:themeColor="text1"/>
        </w:rPr>
      </w:pPr>
    </w:p>
    <w:p w14:paraId="31B9B62D" w14:textId="77777777" w:rsidR="008A4FF2" w:rsidRPr="00ED172B" w:rsidRDefault="008A4FF2">
      <w:pPr>
        <w:rPr>
          <w:b/>
          <w:color w:val="000000" w:themeColor="text1"/>
        </w:rPr>
      </w:pPr>
    </w:p>
    <w:p w14:paraId="3C8EA2B5" w14:textId="77777777" w:rsidR="00DC0682" w:rsidRPr="00ED172B" w:rsidRDefault="00DC0682">
      <w:pPr>
        <w:rPr>
          <w:b/>
          <w:color w:val="000000" w:themeColor="text1"/>
        </w:rPr>
      </w:pPr>
      <w:r w:rsidRPr="00ED172B">
        <w:rPr>
          <w:b/>
          <w:color w:val="000000" w:themeColor="text1"/>
        </w:rPr>
        <w:t>Targets</w:t>
      </w:r>
    </w:p>
    <w:tbl>
      <w:tblPr>
        <w:tblW w:w="2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2590"/>
        <w:gridCol w:w="2769"/>
      </w:tblGrid>
      <w:tr w:rsidR="00CF59E2" w:rsidRPr="00ED172B" w14:paraId="1EC99FF3" w14:textId="77777777" w:rsidTr="00811738">
        <w:trPr>
          <w:trHeight w:val="328"/>
        </w:trPr>
        <w:tc>
          <w:tcPr>
            <w:tcW w:w="562" w:type="pct"/>
            <w:tcBorders>
              <w:bottom w:val="single" w:sz="4" w:space="0" w:color="auto"/>
            </w:tcBorders>
          </w:tcPr>
          <w:p w14:paraId="4704C2BC"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5" w:type="pct"/>
            <w:vAlign w:val="center"/>
          </w:tcPr>
          <w:p w14:paraId="1CAF7CFE" w14:textId="77777777"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3" w:type="pct"/>
          </w:tcPr>
          <w:p w14:paraId="135AD5D2" w14:textId="77777777"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55DA752D" w14:textId="77777777" w:rsidTr="00811738">
        <w:trPr>
          <w:trHeight w:val="334"/>
        </w:trPr>
        <w:tc>
          <w:tcPr>
            <w:tcW w:w="562" w:type="pct"/>
          </w:tcPr>
          <w:p w14:paraId="3809EBC5"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5" w:type="pct"/>
          </w:tcPr>
          <w:p w14:paraId="6FA6AAC6" w14:textId="77777777" w:rsidR="00CF59E2" w:rsidRPr="00ED172B" w:rsidRDefault="00CF59E2" w:rsidP="00A74C59">
            <w:pPr>
              <w:jc w:val="center"/>
              <w:rPr>
                <w:color w:val="000000" w:themeColor="text1"/>
                <w:szCs w:val="16"/>
              </w:rPr>
            </w:pPr>
            <w:r w:rsidRPr="00ED172B">
              <w:rPr>
                <w:color w:val="000000" w:themeColor="text1"/>
                <w:szCs w:val="16"/>
              </w:rPr>
              <w:t>100%</w:t>
            </w:r>
          </w:p>
        </w:tc>
        <w:tc>
          <w:tcPr>
            <w:tcW w:w="2293" w:type="pct"/>
          </w:tcPr>
          <w:p w14:paraId="67F24F56" w14:textId="77777777" w:rsidR="00CF59E2" w:rsidRPr="00ED172B" w:rsidRDefault="00CF59E2" w:rsidP="00A74C59">
            <w:pPr>
              <w:jc w:val="center"/>
              <w:rPr>
                <w:color w:val="000000" w:themeColor="text1"/>
                <w:szCs w:val="16"/>
              </w:rPr>
            </w:pPr>
            <w:r>
              <w:rPr>
                <w:rFonts w:cs="Arial"/>
                <w:color w:val="000000" w:themeColor="text1"/>
                <w:szCs w:val="16"/>
              </w:rPr>
              <w:t>100%</w:t>
            </w:r>
          </w:p>
        </w:tc>
      </w:tr>
    </w:tbl>
    <w:p w14:paraId="38CE1E82" w14:textId="77777777" w:rsidR="003C1AB9" w:rsidRPr="00ED172B" w:rsidRDefault="00F22D09">
      <w:pPr>
        <w:rPr>
          <w:b/>
          <w:color w:val="000000" w:themeColor="text1"/>
        </w:rPr>
      </w:pPr>
      <w:r>
        <w:rPr>
          <w:b/>
          <w:color w:val="000000" w:themeColor="text1"/>
        </w:rPr>
        <w:t>FFY 2024 SPP/APR Data</w:t>
      </w:r>
    </w:p>
    <w:p w14:paraId="56752EED" w14:textId="77777777" w:rsidR="00D3572A" w:rsidRPr="00ED172B" w:rsidRDefault="00D3572A">
      <w:pPr>
        <w:rPr>
          <w:b/>
          <w:color w:val="000000" w:themeColor="text1"/>
          <w:szCs w:val="16"/>
        </w:rPr>
      </w:pPr>
      <w:r w:rsidRPr="00ED172B">
        <w:rPr>
          <w:b/>
          <w:color w:val="000000" w:themeColor="text1"/>
          <w:szCs w:val="16"/>
        </w:rPr>
        <w:t xml:space="preserve">Data </w:t>
      </w:r>
      <w:proofErr w:type="gramStart"/>
      <w:r w:rsidRPr="00ED172B">
        <w:rPr>
          <w:b/>
          <w:color w:val="000000" w:themeColor="text1"/>
          <w:szCs w:val="16"/>
        </w:rPr>
        <w:t>reflect</w:t>
      </w:r>
      <w:proofErr w:type="gramEnd"/>
      <w:r w:rsidRPr="00ED172B">
        <w:rPr>
          <w:b/>
          <w:color w:val="000000" w:themeColor="text1"/>
          <w:szCs w:val="16"/>
        </w:rPr>
        <w:t xml:space="preserve"> only those toddlers for whom the Lead Agency was required to conduct the transition conference, held with the approval of the family, at least 90 days, and at the discretion of all parties, not more than nine months, prior to the toddler’s third birthday for toddlers potentially eligible for Part B preschool services (yes/no)</w:t>
      </w:r>
    </w:p>
    <w:p w14:paraId="689621CC" w14:textId="77777777"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9128627" w14:textId="77777777" w:rsidTr="00986B99">
        <w:trPr>
          <w:trHeight w:val="359"/>
          <w:tblHeader/>
        </w:trPr>
        <w:tc>
          <w:tcPr>
            <w:tcW w:w="1459" w:type="pct"/>
            <w:vAlign w:val="bottom"/>
          </w:tcPr>
          <w:p w14:paraId="629B77EF" w14:textId="77777777"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vAlign w:val="bottom"/>
          </w:tcPr>
          <w:p w14:paraId="0154EA17" w14:textId="77777777"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vAlign w:val="bottom"/>
          </w:tcPr>
          <w:p w14:paraId="31A514CD" w14:textId="77777777" w:rsidR="00781A26" w:rsidRPr="00ED172B" w:rsidRDefault="00CD74B5" w:rsidP="00781A26">
            <w:pPr>
              <w:jc w:val="center"/>
              <w:rPr>
                <w:b/>
                <w:color w:val="000000" w:themeColor="text1"/>
                <w:szCs w:val="16"/>
              </w:rPr>
            </w:pPr>
            <w:r>
              <w:rPr>
                <w:rFonts w:cs="Arial"/>
                <w:b/>
                <w:color w:val="000000" w:themeColor="text1"/>
                <w:szCs w:val="16"/>
              </w:rPr>
              <w:t>FFY 2023 Data</w:t>
            </w:r>
          </w:p>
        </w:tc>
        <w:tc>
          <w:tcPr>
            <w:tcW w:w="542" w:type="pct"/>
            <w:vAlign w:val="bottom"/>
          </w:tcPr>
          <w:p w14:paraId="251BC8E7" w14:textId="77777777" w:rsidR="00781A26" w:rsidRPr="00ED172B" w:rsidRDefault="00F22D09" w:rsidP="00781A26">
            <w:pPr>
              <w:jc w:val="center"/>
              <w:rPr>
                <w:b/>
                <w:color w:val="000000" w:themeColor="text1"/>
                <w:szCs w:val="16"/>
              </w:rPr>
            </w:pPr>
            <w:r>
              <w:rPr>
                <w:rFonts w:cs="Arial"/>
                <w:b/>
                <w:color w:val="000000" w:themeColor="text1"/>
                <w:szCs w:val="16"/>
              </w:rPr>
              <w:t>FFY 2024 Target</w:t>
            </w:r>
          </w:p>
        </w:tc>
        <w:tc>
          <w:tcPr>
            <w:tcW w:w="542" w:type="pct"/>
            <w:vAlign w:val="bottom"/>
          </w:tcPr>
          <w:p w14:paraId="35F70F63" w14:textId="77777777" w:rsidR="00781A26" w:rsidRPr="00ED172B" w:rsidRDefault="00F22D09" w:rsidP="00781A26">
            <w:pPr>
              <w:jc w:val="center"/>
              <w:rPr>
                <w:b/>
                <w:color w:val="000000" w:themeColor="text1"/>
                <w:szCs w:val="16"/>
              </w:rPr>
            </w:pPr>
            <w:r>
              <w:rPr>
                <w:rFonts w:cs="Arial"/>
                <w:b/>
                <w:color w:val="000000" w:themeColor="text1"/>
                <w:szCs w:val="16"/>
              </w:rPr>
              <w:t>FFY 2024 Data</w:t>
            </w:r>
          </w:p>
        </w:tc>
        <w:tc>
          <w:tcPr>
            <w:tcW w:w="542" w:type="pct"/>
            <w:vAlign w:val="bottom"/>
          </w:tcPr>
          <w:p w14:paraId="62161368"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vAlign w:val="bottom"/>
          </w:tcPr>
          <w:p w14:paraId="03F3550D"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3D6B4254" w14:textId="77777777" w:rsidTr="00986B99">
        <w:trPr>
          <w:trHeight w:val="366"/>
        </w:trPr>
        <w:tc>
          <w:tcPr>
            <w:tcW w:w="1459" w:type="pct"/>
            <w:vAlign w:val="center"/>
          </w:tcPr>
          <w:p w14:paraId="46B14302" w14:textId="77777777" w:rsidR="00781A26" w:rsidRPr="00ED172B" w:rsidRDefault="00860830" w:rsidP="00781A26">
            <w:pPr>
              <w:jc w:val="center"/>
              <w:rPr>
                <w:color w:val="000000" w:themeColor="text1"/>
                <w:szCs w:val="16"/>
              </w:rPr>
            </w:pPr>
            <w:r w:rsidRPr="00ED172B">
              <w:rPr>
                <w:color w:val="000000" w:themeColor="text1"/>
                <w:szCs w:val="16"/>
              </w:rPr>
              <w:t>429</w:t>
            </w:r>
          </w:p>
        </w:tc>
        <w:tc>
          <w:tcPr>
            <w:tcW w:w="751" w:type="pct"/>
            <w:vAlign w:val="center"/>
          </w:tcPr>
          <w:p w14:paraId="19649073" w14:textId="77777777" w:rsidR="00781A26" w:rsidRPr="00ED172B" w:rsidRDefault="00860830" w:rsidP="00781A26">
            <w:pPr>
              <w:jc w:val="center"/>
              <w:rPr>
                <w:color w:val="000000" w:themeColor="text1"/>
                <w:szCs w:val="16"/>
              </w:rPr>
            </w:pPr>
            <w:r w:rsidRPr="00ED172B">
              <w:rPr>
                <w:color w:val="000000" w:themeColor="text1"/>
                <w:szCs w:val="16"/>
              </w:rPr>
              <w:t>478</w:t>
            </w:r>
          </w:p>
        </w:tc>
        <w:tc>
          <w:tcPr>
            <w:tcW w:w="625" w:type="pct"/>
          </w:tcPr>
          <w:p w14:paraId="420654C2" w14:textId="77777777" w:rsidR="00781A26" w:rsidRPr="00ED172B" w:rsidRDefault="00860830" w:rsidP="00781A26">
            <w:pPr>
              <w:jc w:val="center"/>
              <w:rPr>
                <w:color w:val="000000" w:themeColor="text1"/>
                <w:szCs w:val="16"/>
              </w:rPr>
            </w:pPr>
            <w:r w:rsidRPr="00ED172B">
              <w:rPr>
                <w:rFonts w:cs="Arial"/>
                <w:color w:val="000000" w:themeColor="text1"/>
                <w:szCs w:val="16"/>
              </w:rPr>
              <w:t>100.00%</w:t>
            </w:r>
          </w:p>
        </w:tc>
        <w:tc>
          <w:tcPr>
            <w:tcW w:w="542" w:type="pct"/>
          </w:tcPr>
          <w:p w14:paraId="07EE6D2C" w14:textId="77777777"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tcPr>
          <w:p w14:paraId="60DEEA87" w14:textId="77777777" w:rsidR="00781A26" w:rsidRPr="00ED172B" w:rsidRDefault="00860830" w:rsidP="00781A26">
            <w:pPr>
              <w:jc w:val="center"/>
              <w:rPr>
                <w:color w:val="000000" w:themeColor="text1"/>
                <w:szCs w:val="16"/>
              </w:rPr>
            </w:pPr>
            <w:r w:rsidRPr="00ED172B">
              <w:rPr>
                <w:rFonts w:cs="Arial"/>
                <w:color w:val="000000" w:themeColor="text1"/>
                <w:szCs w:val="16"/>
              </w:rPr>
              <w:t>100.00%</w:t>
            </w:r>
          </w:p>
        </w:tc>
        <w:tc>
          <w:tcPr>
            <w:tcW w:w="542" w:type="pct"/>
          </w:tcPr>
          <w:p w14:paraId="62D82A10" w14:textId="77777777" w:rsidR="00781A26" w:rsidRPr="00ED172B" w:rsidRDefault="00320806" w:rsidP="00027F39">
            <w:pPr>
              <w:jc w:val="center"/>
              <w:rPr>
                <w:color w:val="000000" w:themeColor="text1"/>
              </w:rPr>
            </w:pPr>
            <w:r w:rsidRPr="00ED172B">
              <w:rPr>
                <w:color w:val="000000" w:themeColor="text1"/>
              </w:rPr>
              <w:t>Met target</w:t>
            </w:r>
          </w:p>
        </w:tc>
        <w:tc>
          <w:tcPr>
            <w:tcW w:w="539" w:type="pct"/>
          </w:tcPr>
          <w:p w14:paraId="19D28CAB" w14:textId="77777777" w:rsidR="00781A26" w:rsidRPr="00ED172B" w:rsidRDefault="00320806" w:rsidP="00027F39">
            <w:pPr>
              <w:jc w:val="center"/>
              <w:rPr>
                <w:color w:val="000000" w:themeColor="text1"/>
              </w:rPr>
            </w:pPr>
            <w:r w:rsidRPr="00ED172B">
              <w:rPr>
                <w:color w:val="000000" w:themeColor="text1"/>
              </w:rPr>
              <w:t>No Slippage</w:t>
            </w:r>
          </w:p>
        </w:tc>
      </w:tr>
    </w:tbl>
    <w:p w14:paraId="56DC71E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620B49AB"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66160447" w14:textId="77777777" w:rsidR="00EC3746" w:rsidRPr="00ED172B" w:rsidRDefault="00EC3746" w:rsidP="00EC3746">
      <w:pPr>
        <w:rPr>
          <w:color w:val="000000" w:themeColor="text1"/>
          <w:szCs w:val="16"/>
        </w:rPr>
      </w:pPr>
      <w:r w:rsidRPr="00ED172B">
        <w:rPr>
          <w:color w:val="000000" w:themeColor="text1"/>
          <w:szCs w:val="16"/>
        </w:rPr>
        <w:t>28</w:t>
      </w:r>
    </w:p>
    <w:p w14:paraId="75AF0BDB" w14:textId="77777777"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766B842" w14:textId="77777777" w:rsidR="00EC3746" w:rsidRPr="00ED172B" w:rsidRDefault="00EC3746" w:rsidP="00EC3746">
      <w:pPr>
        <w:rPr>
          <w:b/>
          <w:color w:val="000000" w:themeColor="text1"/>
          <w:szCs w:val="16"/>
        </w:rPr>
      </w:pPr>
      <w:r w:rsidRPr="00ED172B">
        <w:rPr>
          <w:b/>
          <w:color w:val="000000" w:themeColor="text1"/>
          <w:szCs w:val="16"/>
        </w:rPr>
        <w:t xml:space="preserve">This number will be added to the "Number of toddlers with disabilities exiting Part </w:t>
      </w:r>
      <w:proofErr w:type="gramStart"/>
      <w:r w:rsidRPr="00ED172B">
        <w:rPr>
          <w:b/>
          <w:color w:val="000000" w:themeColor="text1"/>
          <w:szCs w:val="16"/>
        </w:rPr>
        <w:t>C where</w:t>
      </w:r>
      <w:proofErr w:type="gramEnd"/>
      <w:r w:rsidRPr="00ED172B">
        <w:rPr>
          <w:b/>
          <w:color w:val="000000" w:themeColor="text1"/>
          <w:szCs w:val="16"/>
        </w:rPr>
        <w:t xml:space="preserve"> the transition conference </w:t>
      </w:r>
      <w:proofErr w:type="gramStart"/>
      <w:r w:rsidRPr="00ED172B">
        <w:rPr>
          <w:b/>
          <w:color w:val="000000" w:themeColor="text1"/>
          <w:szCs w:val="16"/>
        </w:rPr>
        <w:t>occurred</w:t>
      </w:r>
      <w:proofErr w:type="gramEnd"/>
      <w:r w:rsidRPr="00ED172B">
        <w:rPr>
          <w:b/>
          <w:color w:val="000000" w:themeColor="text1"/>
          <w:szCs w:val="16"/>
        </w:rPr>
        <w:t xml:space="preserve"> at least 90 days, and at the discretion of all parties not more than nine months prior to the toddler’s third birthday for toddlers potentially eligible for Part B" field to calculate the numerator for this indicator.</w:t>
      </w:r>
    </w:p>
    <w:p w14:paraId="1AB7A4CE" w14:textId="77777777" w:rsidR="00EC3746" w:rsidRDefault="00EC3746" w:rsidP="005A1CA1">
      <w:pPr>
        <w:rPr>
          <w:color w:val="000000" w:themeColor="text1"/>
        </w:rPr>
      </w:pPr>
      <w:r w:rsidRPr="00ED172B">
        <w:rPr>
          <w:color w:val="000000" w:themeColor="text1"/>
        </w:rPr>
        <w:t>21</w:t>
      </w:r>
    </w:p>
    <w:p w14:paraId="123A2ABC"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5C86351A" w14:textId="77777777" w:rsidR="00A32D79" w:rsidRPr="00ED172B" w:rsidRDefault="00A32D79" w:rsidP="00A32D79">
      <w:pPr>
        <w:rPr>
          <w:rFonts w:cs="Arial"/>
          <w:color w:val="000000" w:themeColor="text1"/>
          <w:szCs w:val="16"/>
        </w:rPr>
      </w:pPr>
      <w:r w:rsidRPr="00ED172B">
        <w:rPr>
          <w:color w:val="000000" w:themeColor="text1"/>
          <w:szCs w:val="16"/>
        </w:rPr>
        <w:t>During FFY 2024-25 compliance monitoring, delays in timely Transition Planning Conferences were categorized into two primary groups: Exceptional Family Circumstances and System Issues. The documented reasons are outlined below.</w:t>
      </w:r>
    </w:p>
    <w:p w14:paraId="23B0193D" w14:textId="77777777" w:rsidR="007876EE" w:rsidRDefault="007876EE"/>
    <w:p w14:paraId="35C4F720" w14:textId="77777777" w:rsidR="007876EE" w:rsidRDefault="00000000">
      <w:r>
        <w:rPr>
          <w:color w:val="000000"/>
        </w:rPr>
        <w:t>Exceptional Family Circumstances</w:t>
      </w:r>
    </w:p>
    <w:p w14:paraId="604968C8" w14:textId="77777777" w:rsidR="007876EE" w:rsidRDefault="00000000">
      <w:r>
        <w:rPr>
          <w:color w:val="000000"/>
        </w:rPr>
        <w:t>-Child or family illness</w:t>
      </w:r>
    </w:p>
    <w:p w14:paraId="7B45988B" w14:textId="77777777" w:rsidR="007876EE" w:rsidRDefault="00000000">
      <w:r>
        <w:rPr>
          <w:color w:val="000000"/>
        </w:rPr>
        <w:t>-Family vacation or holiday</w:t>
      </w:r>
    </w:p>
    <w:p w14:paraId="37FA0F2C" w14:textId="77777777" w:rsidR="007876EE" w:rsidRDefault="00000000">
      <w:r>
        <w:rPr>
          <w:color w:val="000000"/>
        </w:rPr>
        <w:t>-Family’s preferred schedule</w:t>
      </w:r>
    </w:p>
    <w:p w14:paraId="0F24DC6F" w14:textId="77777777" w:rsidR="007876EE" w:rsidRDefault="00000000">
      <w:r>
        <w:rPr>
          <w:color w:val="000000"/>
        </w:rPr>
        <w:t>-Missed or canceled scheduled meetings</w:t>
      </w:r>
    </w:p>
    <w:p w14:paraId="142952D0" w14:textId="77777777" w:rsidR="007876EE" w:rsidRDefault="00000000">
      <w:r>
        <w:rPr>
          <w:color w:val="000000"/>
        </w:rPr>
        <w:t>-Weather-related events (e.g., snow, ice, tornado, flood)</w:t>
      </w:r>
    </w:p>
    <w:p w14:paraId="105AA9CA" w14:textId="77777777" w:rsidR="007876EE" w:rsidRDefault="00000000">
      <w:r>
        <w:rPr>
          <w:color w:val="000000"/>
        </w:rPr>
        <w:t>-State or local disaster recovery (e.g., flood, tornado, ice storm)</w:t>
      </w:r>
    </w:p>
    <w:p w14:paraId="01307504" w14:textId="77777777" w:rsidR="007876EE" w:rsidRDefault="007876EE"/>
    <w:p w14:paraId="3B05CAA2" w14:textId="77777777" w:rsidR="007876EE" w:rsidRDefault="00000000">
      <w:r>
        <w:rPr>
          <w:color w:val="000000"/>
        </w:rPr>
        <w:t>System Issues</w:t>
      </w:r>
    </w:p>
    <w:p w14:paraId="683B7AD2" w14:textId="77777777" w:rsidR="007876EE" w:rsidRDefault="00000000">
      <w:r>
        <w:rPr>
          <w:color w:val="000000"/>
        </w:rPr>
        <w:t>-Service Coordinator delay in contacting the LEA to schedule a conference</w:t>
      </w:r>
    </w:p>
    <w:p w14:paraId="4CE3CB04" w14:textId="77777777" w:rsidR="007876EE" w:rsidRDefault="00000000">
      <w:r>
        <w:rPr>
          <w:color w:val="000000"/>
        </w:rPr>
        <w:t>-Limited LEA availability for meetings (e.g., during spring/summer or due to staffing constraints)</w:t>
      </w:r>
    </w:p>
    <w:p w14:paraId="59F0348A" w14:textId="77777777" w:rsidR="007876EE" w:rsidRDefault="00000000">
      <w:r>
        <w:rPr>
          <w:color w:val="000000"/>
        </w:rPr>
        <w:t>-Incomplete documentation of delay reasons</w:t>
      </w:r>
    </w:p>
    <w:p w14:paraId="6F1C7509" w14:textId="77777777" w:rsidR="007876EE" w:rsidRDefault="00000000">
      <w:r>
        <w:rPr>
          <w:color w:val="000000"/>
        </w:rPr>
        <w:t>-Delay in scheduling interpreters</w:t>
      </w:r>
    </w:p>
    <w:p w14:paraId="31C2D17B"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9EB353A" w14:textId="77777777" w:rsidR="00781A26" w:rsidRDefault="00781A26" w:rsidP="00B83404">
      <w:pPr>
        <w:rPr>
          <w:color w:val="000000" w:themeColor="text1"/>
        </w:rPr>
      </w:pPr>
      <w:r w:rsidRPr="00ED172B">
        <w:rPr>
          <w:color w:val="000000" w:themeColor="text1"/>
        </w:rPr>
        <w:t>State monitoring</w:t>
      </w:r>
    </w:p>
    <w:p w14:paraId="6F65A7DE" w14:textId="77777777" w:rsidR="00781A26" w:rsidRPr="00ED172B" w:rsidRDefault="00781A26" w:rsidP="00B83404">
      <w:pPr>
        <w:rPr>
          <w:b/>
          <w:color w:val="000000" w:themeColor="text1"/>
        </w:rPr>
      </w:pPr>
      <w:r w:rsidRPr="00ED172B">
        <w:rPr>
          <w:b/>
          <w:color w:val="000000" w:themeColor="text1"/>
        </w:rPr>
        <w:t xml:space="preserve">Describe the method used to select EIS programs for monitoring. </w:t>
      </w:r>
    </w:p>
    <w:p w14:paraId="29E5D986" w14:textId="77777777" w:rsidR="00781A26" w:rsidRDefault="00860830" w:rsidP="00781A26">
      <w:pPr>
        <w:rPr>
          <w:color w:val="000000" w:themeColor="text1"/>
        </w:rPr>
      </w:pPr>
      <w:r w:rsidRPr="00ED172B">
        <w:rPr>
          <w:color w:val="000000" w:themeColor="text1"/>
        </w:rPr>
        <w:t>All nine Early Intervention Service (EIS) programs (TEIS Points of Entry) were monitored for this indicator. TEIS uses a representative month of data for annual monitoring; in FFY 2024, the selected month was March 2025. All Transition Planning Conferences (TPCs) due in that month were reviewed using Tableau, a business intelligence tool linked to the state database. The review, conducted on May 19, 2025, assessed both systemic and child-level noncompliance.</w:t>
      </w:r>
    </w:p>
    <w:p w14:paraId="71D6B67A" w14:textId="77777777" w:rsidR="007876EE" w:rsidRDefault="007876EE"/>
    <w:p w14:paraId="55236D7D" w14:textId="77777777" w:rsidR="007876EE" w:rsidRDefault="00000000">
      <w:r>
        <w:rPr>
          <w:color w:val="000000"/>
        </w:rPr>
        <w:t>Establishing the Monitoring Process</w:t>
      </w:r>
    </w:p>
    <w:p w14:paraId="4B2C4853" w14:textId="77777777" w:rsidR="007876EE" w:rsidRDefault="00000000">
      <w:r>
        <w:rPr>
          <w:color w:val="000000"/>
        </w:rPr>
        <w:lastRenderedPageBreak/>
        <w:t>To determine the most representative month for monitoring, TEIS analyzed three years of data across multiple elements during FFY 2020-21. With technical assistance, TEIS concluded that all months were equally representative of the population served. The monitoring schedule for all nine EIS programs is reviewed and set annually.</w:t>
      </w:r>
    </w:p>
    <w:p w14:paraId="7CDF71EA" w14:textId="77777777" w:rsidR="007876EE" w:rsidRDefault="007876EE"/>
    <w:p w14:paraId="23220F14" w14:textId="77777777" w:rsidR="007876EE" w:rsidRDefault="00000000">
      <w:r>
        <w:rPr>
          <w:color w:val="000000"/>
        </w:rPr>
        <w:t>Monitoring Details for FFY 2024-25</w:t>
      </w:r>
    </w:p>
    <w:p w14:paraId="6CA9297C" w14:textId="77777777" w:rsidR="007876EE" w:rsidRDefault="00000000">
      <w:r>
        <w:rPr>
          <w:color w:val="000000"/>
        </w:rPr>
        <w:t>For FFY 2024-25, the Monitoring Team used March 2025 data from the Tennessee Early Intervention Data System (TEIDS) to calculate the percentage of Part C eligible toddlers who reached the age of transition (at least 90 days—and, at the discretion of all parties, up to nine months—before the child’s third birthday), were potentially eligible for Part B, and had timely Transition Planning Conferences (with parent consent) due in March.</w:t>
      </w:r>
    </w:p>
    <w:p w14:paraId="30A9753B" w14:textId="77777777" w:rsidR="007876EE" w:rsidRDefault="00000000">
      <w:r>
        <w:rPr>
          <w:color w:val="000000"/>
        </w:rPr>
        <w:t>-The review included 450 children with TPCs due in March 2025</w:t>
      </w:r>
    </w:p>
    <w:p w14:paraId="70032396" w14:textId="77777777" w:rsidR="007876EE" w:rsidRDefault="00000000">
      <w:r>
        <w:rPr>
          <w:color w:val="000000"/>
        </w:rPr>
        <w:t>-All TEIS POEs and Service Coordinators with active caseloads were represented in the data.</w:t>
      </w:r>
    </w:p>
    <w:p w14:paraId="43791273" w14:textId="77777777" w:rsidR="007876EE" w:rsidRDefault="007876EE"/>
    <w:p w14:paraId="16C5A16B" w14:textId="77777777" w:rsidR="007876EE" w:rsidRDefault="00000000">
      <w:r>
        <w:rPr>
          <w:color w:val="000000"/>
        </w:rPr>
        <w:t>Use of Tableau and Internal Controls</w:t>
      </w:r>
    </w:p>
    <w:p w14:paraId="36CE3EF8" w14:textId="77777777" w:rsidR="007876EE" w:rsidRDefault="00000000">
      <w:r>
        <w:rPr>
          <w:color w:val="000000"/>
        </w:rPr>
        <w:t xml:space="preserve">FFY 2023-24 was the first year Tableau was used for Indicator 8C compliance monitoring. During that year, TEIS POE leadership also implemented </w:t>
      </w:r>
      <w:proofErr w:type="gramStart"/>
      <w:r>
        <w:rPr>
          <w:color w:val="000000"/>
        </w:rPr>
        <w:t>a monthly</w:t>
      </w:r>
      <w:proofErr w:type="gramEnd"/>
      <w:r>
        <w:rPr>
          <w:color w:val="000000"/>
        </w:rPr>
        <w:t xml:space="preserve"> Internal Controls for Monitoring Process to improve oversight of compliance data.</w:t>
      </w:r>
    </w:p>
    <w:p w14:paraId="2152734E" w14:textId="77777777" w:rsidR="007876EE" w:rsidRDefault="007876EE"/>
    <w:p w14:paraId="731E4E8D" w14:textId="77777777" w:rsidR="007876EE" w:rsidRDefault="00000000">
      <w:r>
        <w:rPr>
          <w:color w:val="000000"/>
        </w:rPr>
        <w:t>POE leadership accessed real-time data through Tableau, enabling proactive responses before SEA/LEA Transition Planning Conferences were due.</w:t>
      </w:r>
    </w:p>
    <w:p w14:paraId="6CB8618B" w14:textId="77777777" w:rsidR="007876EE" w:rsidRDefault="00000000">
      <w:r>
        <w:rPr>
          <w:color w:val="000000"/>
        </w:rPr>
        <w:t>-This allowed leadership and Service Coordinators to visualize and forecast data, allocate resources, and prevent delays.</w:t>
      </w:r>
    </w:p>
    <w:p w14:paraId="7883081B" w14:textId="77777777" w:rsidR="007876EE" w:rsidRDefault="00000000">
      <w:r>
        <w:rPr>
          <w:color w:val="000000"/>
        </w:rPr>
        <w:t>-When delays occurred, reasons were documented in TEIDS (e.g., exceptional family circumstances, system-related issues).</w:t>
      </w:r>
    </w:p>
    <w:p w14:paraId="55DAE254" w14:textId="77777777" w:rsidR="007876EE" w:rsidRDefault="007876EE"/>
    <w:p w14:paraId="4929875B" w14:textId="77777777" w:rsidR="007876EE" w:rsidRDefault="007876EE"/>
    <w:p w14:paraId="593A9BE7" w14:textId="77777777" w:rsidR="007876EE" w:rsidRDefault="00000000">
      <w:r>
        <w:rPr>
          <w:color w:val="000000"/>
        </w:rPr>
        <w:t>Data Validation</w:t>
      </w:r>
    </w:p>
    <w:p w14:paraId="387BD1B3" w14:textId="77777777" w:rsidR="007876EE" w:rsidRDefault="00000000">
      <w:r>
        <w:rPr>
          <w:color w:val="000000"/>
        </w:rPr>
        <w:t xml:space="preserve">The TEIDS 618 exiting report for FFY 2023 served as the basis for Indicator 8C measurement of children </w:t>
      </w:r>
      <w:proofErr w:type="gramStart"/>
      <w:r>
        <w:rPr>
          <w:color w:val="000000"/>
        </w:rPr>
        <w:t>exiting</w:t>
      </w:r>
      <w:proofErr w:type="gramEnd"/>
      <w:r>
        <w:rPr>
          <w:color w:val="000000"/>
        </w:rPr>
        <w:t xml:space="preserve"> who were potentially eligible for Part B. Tableau data from TEIDS was analyzed for delay reasons recorded through the POE’s monthly Internal Controls process for children with TPCs due in March.</w:t>
      </w:r>
    </w:p>
    <w:p w14:paraId="01287F45" w14:textId="77777777" w:rsidR="007876EE" w:rsidRDefault="007876EE"/>
    <w:p w14:paraId="09A7393C" w14:textId="77777777" w:rsidR="007876EE" w:rsidRDefault="00000000">
      <w:r>
        <w:rPr>
          <w:color w:val="000000"/>
        </w:rPr>
        <w:t>Annual monitoring confirmed alignment between Tableau and an Excel spreadsheet containing exiting data for children potentially eligible for Part B with TPCs due in March. Data included documented reasons for untimely conferences. (See section “Provide reasons for delay, if applicable” for examples of exceptional family circumstances and system-related delays used in FFY 2024-25 monitoring.)</w:t>
      </w:r>
    </w:p>
    <w:p w14:paraId="6F4B6AFE" w14:textId="77777777"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B548075" w14:textId="77777777" w:rsidR="003A3693" w:rsidRPr="00ED172B" w:rsidRDefault="003A3693" w:rsidP="003A3693">
      <w:pPr>
        <w:rPr>
          <w:rFonts w:cs="Arial"/>
          <w:color w:val="000000" w:themeColor="text1"/>
          <w:szCs w:val="16"/>
        </w:rPr>
      </w:pPr>
    </w:p>
    <w:p w14:paraId="33D0D335" w14:textId="77777777" w:rsidR="00E06C1E" w:rsidRPr="00ED172B" w:rsidRDefault="00E06C1E"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395BBF44" w14:textId="77777777" w:rsidTr="00986B99">
        <w:trPr>
          <w:trHeight w:val="389"/>
          <w:tblHeader/>
        </w:trPr>
        <w:tc>
          <w:tcPr>
            <w:tcW w:w="1209" w:type="pct"/>
            <w:vAlign w:val="bottom"/>
          </w:tcPr>
          <w:p w14:paraId="6D4375C3"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vAlign w:val="bottom"/>
          </w:tcPr>
          <w:p w14:paraId="5009AE0E"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vAlign w:val="bottom"/>
          </w:tcPr>
          <w:p w14:paraId="1E671E70"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vAlign w:val="bottom"/>
          </w:tcPr>
          <w:p w14:paraId="75076FDF"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395F1FC" w14:textId="77777777" w:rsidTr="00986B99">
        <w:tc>
          <w:tcPr>
            <w:tcW w:w="1209" w:type="pct"/>
          </w:tcPr>
          <w:p w14:paraId="0FC553EC" w14:textId="77777777"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68" w:type="pct"/>
          </w:tcPr>
          <w:p w14:paraId="20312B66" w14:textId="77777777"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1" w:type="pct"/>
          </w:tcPr>
          <w:p w14:paraId="195AB768" w14:textId="77777777" w:rsidR="00E06C1E" w:rsidRPr="00ED172B" w:rsidRDefault="00860830" w:rsidP="00B17243">
            <w:pPr>
              <w:jc w:val="center"/>
              <w:rPr>
                <w:rFonts w:cs="Arial"/>
                <w:color w:val="000000" w:themeColor="text1"/>
                <w:szCs w:val="16"/>
              </w:rPr>
            </w:pPr>
            <w:r w:rsidRPr="00ED172B">
              <w:rPr>
                <w:rFonts w:cs="Arial"/>
                <w:color w:val="000000" w:themeColor="text1"/>
                <w:szCs w:val="16"/>
              </w:rPr>
              <w:t>0</w:t>
            </w:r>
          </w:p>
        </w:tc>
        <w:tc>
          <w:tcPr>
            <w:tcW w:w="1312" w:type="pct"/>
          </w:tcPr>
          <w:p w14:paraId="483AD1F8" w14:textId="77777777" w:rsidR="00E06C1E"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7A7110AF"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5E99F5FE" w14:textId="77777777" w:rsidR="00416EBD" w:rsidRPr="00EE69F5" w:rsidRDefault="00416EBD" w:rsidP="00416EBD">
      <w:r w:rsidRPr="00EE69F5">
        <w:t>In FFY 2023, TEIS utilized pre-finding correction for Indicator 8C. This practice was discontinued beginning in FFY 2024.</w:t>
      </w:r>
    </w:p>
    <w:p w14:paraId="537F0B2E" w14:textId="77777777" w:rsidR="007876EE" w:rsidRDefault="007876EE"/>
    <w:p w14:paraId="4BDCD1DB" w14:textId="77777777" w:rsidR="007876EE" w:rsidRDefault="00000000">
      <w:r>
        <w:t>On December 5, 2023, TEIS reviewed data for all Transition Planning Conferences (TPCs) due in October 2023 for annual monitoring. Of the nine EIS programs, three were verified as 100% compliant.</w:t>
      </w:r>
    </w:p>
    <w:p w14:paraId="716B98D8" w14:textId="77777777" w:rsidR="007876EE" w:rsidRDefault="007876EE"/>
    <w:p w14:paraId="47D391F3" w14:textId="77777777" w:rsidR="007876EE" w:rsidRDefault="00000000">
      <w:r>
        <w:t>Correction Process</w:t>
      </w:r>
    </w:p>
    <w:p w14:paraId="1A92FE4E" w14:textId="77777777" w:rsidR="007876EE" w:rsidRDefault="00000000">
      <w:r>
        <w:t>Monthly data reviews were conducted as follows:</w:t>
      </w:r>
    </w:p>
    <w:p w14:paraId="1432C6D0" w14:textId="77777777" w:rsidR="007876EE" w:rsidRDefault="00000000">
      <w:r>
        <w:t>-October 2023 data was monitored until all outstanding instances of child-level noncompliance were corrected.</w:t>
      </w:r>
    </w:p>
    <w:p w14:paraId="7B01D02F" w14:textId="77777777" w:rsidR="007876EE" w:rsidRDefault="00000000">
      <w:r>
        <w:t xml:space="preserve">-Data for TPCs due in November, December, and January were reviewed for pre-finding </w:t>
      </w:r>
      <w:proofErr w:type="gramStart"/>
      <w:r>
        <w:t>correction</w:t>
      </w:r>
      <w:proofErr w:type="gramEnd"/>
      <w:r>
        <w:t xml:space="preserve"> in January, February, and March 2024, respectively, for both systemic and child-level compliance.</w:t>
      </w:r>
    </w:p>
    <w:p w14:paraId="0F9C84E0" w14:textId="77777777" w:rsidR="007876EE" w:rsidRDefault="007876EE"/>
    <w:p w14:paraId="02A24B23" w14:textId="77777777" w:rsidR="007876EE" w:rsidRDefault="00000000">
      <w:r>
        <w:t>TEIS verified correction at both levels for all six EIS programs that were not initially 100% compliant. These programs were considered corrected prior to the issuance of findings.</w:t>
      </w:r>
    </w:p>
    <w:p w14:paraId="27293550" w14:textId="77777777" w:rsidR="00E06C1E" w:rsidRPr="00ED172B" w:rsidRDefault="00E06C1E"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2FAF735D" w14:textId="77777777" w:rsidTr="00986B99">
        <w:trPr>
          <w:tblHeader/>
        </w:trPr>
        <w:tc>
          <w:tcPr>
            <w:tcW w:w="954" w:type="pct"/>
            <w:vAlign w:val="bottom"/>
          </w:tcPr>
          <w:p w14:paraId="72EF0F5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vAlign w:val="bottom"/>
          </w:tcPr>
          <w:p w14:paraId="582D3056"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5" w:type="pct"/>
            <w:vAlign w:val="bottom"/>
          </w:tcPr>
          <w:p w14:paraId="58A42D14"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vAlign w:val="bottom"/>
          </w:tcPr>
          <w:p w14:paraId="2D62504D"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F17C52C" w14:textId="77777777" w:rsidTr="00986B99">
        <w:tc>
          <w:tcPr>
            <w:tcW w:w="954" w:type="pct"/>
          </w:tcPr>
          <w:p w14:paraId="78E98502" w14:textId="77777777" w:rsidR="00E06C1E" w:rsidRPr="00ED172B" w:rsidRDefault="00E06C1E" w:rsidP="00D21F29">
            <w:pPr>
              <w:jc w:val="center"/>
              <w:rPr>
                <w:rFonts w:cs="Arial"/>
                <w:color w:val="000000" w:themeColor="text1"/>
                <w:szCs w:val="16"/>
              </w:rPr>
            </w:pPr>
          </w:p>
        </w:tc>
        <w:tc>
          <w:tcPr>
            <w:tcW w:w="1369" w:type="pct"/>
          </w:tcPr>
          <w:p w14:paraId="31A08FD8" w14:textId="77777777" w:rsidR="00E06C1E" w:rsidRPr="00ED172B" w:rsidRDefault="00E06C1E" w:rsidP="00CD79C5">
            <w:pPr>
              <w:jc w:val="center"/>
              <w:rPr>
                <w:rFonts w:cs="Arial"/>
                <w:noProof/>
                <w:color w:val="000000" w:themeColor="text1"/>
                <w:szCs w:val="16"/>
              </w:rPr>
            </w:pPr>
          </w:p>
        </w:tc>
        <w:tc>
          <w:tcPr>
            <w:tcW w:w="1385" w:type="pct"/>
          </w:tcPr>
          <w:p w14:paraId="77BB1D85" w14:textId="77777777" w:rsidR="00E06C1E" w:rsidRPr="00ED172B" w:rsidRDefault="00E06C1E" w:rsidP="00CD79C5">
            <w:pPr>
              <w:jc w:val="center"/>
              <w:rPr>
                <w:rFonts w:cs="Arial"/>
                <w:noProof/>
                <w:color w:val="000000" w:themeColor="text1"/>
                <w:szCs w:val="16"/>
              </w:rPr>
            </w:pPr>
          </w:p>
        </w:tc>
        <w:tc>
          <w:tcPr>
            <w:tcW w:w="1292" w:type="pct"/>
          </w:tcPr>
          <w:p w14:paraId="60685F2A" w14:textId="77777777" w:rsidR="00E06C1E" w:rsidRPr="00ED172B" w:rsidRDefault="00E06C1E" w:rsidP="00CD79C5">
            <w:pPr>
              <w:jc w:val="center"/>
              <w:rPr>
                <w:rFonts w:cs="Arial"/>
                <w:noProof/>
                <w:color w:val="000000" w:themeColor="text1"/>
                <w:szCs w:val="16"/>
              </w:rPr>
            </w:pPr>
          </w:p>
        </w:tc>
      </w:tr>
      <w:tr w:rsidR="00ED172B" w:rsidRPr="00ED172B" w14:paraId="48F6C1BD" w14:textId="77777777" w:rsidTr="00986B99">
        <w:tc>
          <w:tcPr>
            <w:tcW w:w="954" w:type="pct"/>
          </w:tcPr>
          <w:p w14:paraId="6DF3E693" w14:textId="77777777" w:rsidR="00E06C1E" w:rsidRPr="00ED172B" w:rsidRDefault="00E06C1E" w:rsidP="00D21F29">
            <w:pPr>
              <w:jc w:val="center"/>
              <w:rPr>
                <w:rFonts w:cs="Arial"/>
                <w:color w:val="000000" w:themeColor="text1"/>
                <w:szCs w:val="16"/>
              </w:rPr>
            </w:pPr>
          </w:p>
        </w:tc>
        <w:tc>
          <w:tcPr>
            <w:tcW w:w="1369" w:type="pct"/>
          </w:tcPr>
          <w:p w14:paraId="40E17B15" w14:textId="77777777" w:rsidR="00E06C1E" w:rsidRPr="00ED172B" w:rsidRDefault="00E06C1E" w:rsidP="00CD79C5">
            <w:pPr>
              <w:jc w:val="center"/>
              <w:rPr>
                <w:rFonts w:cs="Arial"/>
                <w:noProof/>
                <w:color w:val="000000" w:themeColor="text1"/>
                <w:szCs w:val="16"/>
              </w:rPr>
            </w:pPr>
          </w:p>
        </w:tc>
        <w:tc>
          <w:tcPr>
            <w:tcW w:w="1385" w:type="pct"/>
          </w:tcPr>
          <w:p w14:paraId="253B9AD7" w14:textId="77777777" w:rsidR="00E06C1E" w:rsidRPr="00ED172B" w:rsidRDefault="00E06C1E" w:rsidP="00CD79C5">
            <w:pPr>
              <w:jc w:val="center"/>
              <w:rPr>
                <w:rFonts w:cs="Arial"/>
                <w:noProof/>
                <w:color w:val="000000" w:themeColor="text1"/>
                <w:szCs w:val="16"/>
              </w:rPr>
            </w:pPr>
          </w:p>
        </w:tc>
        <w:tc>
          <w:tcPr>
            <w:tcW w:w="1292" w:type="pct"/>
          </w:tcPr>
          <w:p w14:paraId="7AAFE525" w14:textId="77777777" w:rsidR="00E06C1E" w:rsidRPr="00ED172B" w:rsidRDefault="00E06C1E" w:rsidP="00CD79C5">
            <w:pPr>
              <w:jc w:val="center"/>
              <w:rPr>
                <w:rFonts w:cs="Arial"/>
                <w:noProof/>
                <w:color w:val="000000" w:themeColor="text1"/>
                <w:szCs w:val="16"/>
              </w:rPr>
            </w:pPr>
          </w:p>
        </w:tc>
      </w:tr>
      <w:tr w:rsidR="00ED172B" w:rsidRPr="00ED172B" w14:paraId="7B4262C3" w14:textId="77777777" w:rsidTr="00986B99">
        <w:tc>
          <w:tcPr>
            <w:tcW w:w="954" w:type="pct"/>
          </w:tcPr>
          <w:p w14:paraId="3D734EE5" w14:textId="77777777" w:rsidR="00E06C1E" w:rsidRPr="00ED172B" w:rsidRDefault="00E06C1E" w:rsidP="00D21F29">
            <w:pPr>
              <w:jc w:val="center"/>
              <w:rPr>
                <w:rFonts w:cs="Arial"/>
                <w:color w:val="000000" w:themeColor="text1"/>
                <w:szCs w:val="16"/>
              </w:rPr>
            </w:pPr>
          </w:p>
        </w:tc>
        <w:tc>
          <w:tcPr>
            <w:tcW w:w="1369" w:type="pct"/>
          </w:tcPr>
          <w:p w14:paraId="0BA67BDD" w14:textId="77777777" w:rsidR="00E06C1E" w:rsidRPr="00ED172B" w:rsidRDefault="00E06C1E" w:rsidP="00CD79C5">
            <w:pPr>
              <w:jc w:val="center"/>
              <w:rPr>
                <w:rFonts w:cs="Arial"/>
                <w:noProof/>
                <w:color w:val="000000" w:themeColor="text1"/>
                <w:szCs w:val="16"/>
              </w:rPr>
            </w:pPr>
          </w:p>
        </w:tc>
        <w:tc>
          <w:tcPr>
            <w:tcW w:w="1385" w:type="pct"/>
          </w:tcPr>
          <w:p w14:paraId="0CEA8A81" w14:textId="77777777" w:rsidR="00E06C1E" w:rsidRPr="00ED172B" w:rsidRDefault="00E06C1E" w:rsidP="00CD79C5">
            <w:pPr>
              <w:jc w:val="center"/>
              <w:rPr>
                <w:rFonts w:cs="Arial"/>
                <w:noProof/>
                <w:color w:val="000000" w:themeColor="text1"/>
                <w:szCs w:val="16"/>
              </w:rPr>
            </w:pPr>
          </w:p>
        </w:tc>
        <w:tc>
          <w:tcPr>
            <w:tcW w:w="1292" w:type="pct"/>
          </w:tcPr>
          <w:p w14:paraId="1CD039B4" w14:textId="77777777" w:rsidR="00E06C1E" w:rsidRPr="00ED172B" w:rsidRDefault="00E06C1E" w:rsidP="00CD79C5">
            <w:pPr>
              <w:jc w:val="center"/>
              <w:rPr>
                <w:rFonts w:cs="Arial"/>
                <w:noProof/>
                <w:color w:val="000000" w:themeColor="text1"/>
                <w:szCs w:val="16"/>
              </w:rPr>
            </w:pPr>
          </w:p>
        </w:tc>
      </w:tr>
      <w:tr w:rsidR="00422BEE" w:rsidRPr="00ED172B" w14:paraId="07F75AD1" w14:textId="77777777" w:rsidTr="00986B99">
        <w:tc>
          <w:tcPr>
            <w:tcW w:w="954" w:type="pct"/>
          </w:tcPr>
          <w:p w14:paraId="3CD3D1C5" w14:textId="77777777" w:rsidR="00422BEE" w:rsidRPr="00ED172B" w:rsidRDefault="00422BEE" w:rsidP="00D21F29">
            <w:pPr>
              <w:jc w:val="center"/>
              <w:rPr>
                <w:rFonts w:cs="Arial"/>
                <w:color w:val="000000" w:themeColor="text1"/>
                <w:szCs w:val="16"/>
              </w:rPr>
            </w:pPr>
          </w:p>
        </w:tc>
        <w:tc>
          <w:tcPr>
            <w:tcW w:w="1369" w:type="pct"/>
          </w:tcPr>
          <w:p w14:paraId="25234105" w14:textId="77777777" w:rsidR="00422BEE" w:rsidRPr="00ED172B" w:rsidRDefault="00422BEE" w:rsidP="00422BEE">
            <w:pPr>
              <w:jc w:val="center"/>
              <w:rPr>
                <w:rFonts w:cs="Arial"/>
                <w:color w:val="000000" w:themeColor="text1"/>
                <w:szCs w:val="16"/>
              </w:rPr>
            </w:pPr>
          </w:p>
        </w:tc>
        <w:tc>
          <w:tcPr>
            <w:tcW w:w="1385" w:type="pct"/>
          </w:tcPr>
          <w:p w14:paraId="5482171C" w14:textId="77777777" w:rsidR="00422BEE" w:rsidRPr="00ED172B" w:rsidRDefault="00422BEE" w:rsidP="00422BEE">
            <w:pPr>
              <w:jc w:val="center"/>
              <w:rPr>
                <w:rFonts w:cs="Arial"/>
                <w:color w:val="000000" w:themeColor="text1"/>
                <w:szCs w:val="16"/>
              </w:rPr>
            </w:pPr>
          </w:p>
        </w:tc>
        <w:tc>
          <w:tcPr>
            <w:tcW w:w="1292" w:type="pct"/>
          </w:tcPr>
          <w:p w14:paraId="1DBD7327" w14:textId="77777777" w:rsidR="00422BEE" w:rsidRPr="00ED172B" w:rsidRDefault="00422BEE" w:rsidP="00422BEE">
            <w:pPr>
              <w:jc w:val="center"/>
              <w:rPr>
                <w:rFonts w:cs="Arial"/>
                <w:color w:val="000000" w:themeColor="text1"/>
                <w:szCs w:val="16"/>
              </w:rPr>
            </w:pPr>
          </w:p>
        </w:tc>
      </w:tr>
      <w:tr w:rsidR="00422BEE" w:rsidRPr="00ED172B" w14:paraId="42B52090" w14:textId="77777777" w:rsidTr="00986B99">
        <w:tc>
          <w:tcPr>
            <w:tcW w:w="954" w:type="pct"/>
          </w:tcPr>
          <w:p w14:paraId="3763A784" w14:textId="77777777" w:rsidR="00422BEE" w:rsidRPr="00ED172B" w:rsidRDefault="00422BEE" w:rsidP="00D21F29">
            <w:pPr>
              <w:jc w:val="center"/>
              <w:rPr>
                <w:rFonts w:cs="Arial"/>
                <w:color w:val="000000" w:themeColor="text1"/>
                <w:szCs w:val="16"/>
              </w:rPr>
            </w:pPr>
          </w:p>
        </w:tc>
        <w:tc>
          <w:tcPr>
            <w:tcW w:w="1369" w:type="pct"/>
          </w:tcPr>
          <w:p w14:paraId="051E5783" w14:textId="77777777" w:rsidR="00422BEE" w:rsidRPr="00ED172B" w:rsidRDefault="00422BEE" w:rsidP="00422BEE">
            <w:pPr>
              <w:jc w:val="center"/>
              <w:rPr>
                <w:rFonts w:cs="Arial"/>
                <w:color w:val="000000" w:themeColor="text1"/>
                <w:szCs w:val="16"/>
              </w:rPr>
            </w:pPr>
          </w:p>
        </w:tc>
        <w:tc>
          <w:tcPr>
            <w:tcW w:w="1385" w:type="pct"/>
          </w:tcPr>
          <w:p w14:paraId="780FE6EC" w14:textId="77777777" w:rsidR="00422BEE" w:rsidRPr="00ED172B" w:rsidRDefault="00422BEE" w:rsidP="00422BEE">
            <w:pPr>
              <w:jc w:val="center"/>
              <w:rPr>
                <w:rFonts w:cs="Arial"/>
                <w:color w:val="000000" w:themeColor="text1"/>
                <w:szCs w:val="16"/>
              </w:rPr>
            </w:pPr>
          </w:p>
        </w:tc>
        <w:tc>
          <w:tcPr>
            <w:tcW w:w="1292" w:type="pct"/>
          </w:tcPr>
          <w:p w14:paraId="151ADDA1" w14:textId="77777777" w:rsidR="00422BEE" w:rsidRPr="00ED172B" w:rsidRDefault="00422BEE" w:rsidP="00422BEE">
            <w:pPr>
              <w:jc w:val="center"/>
              <w:rPr>
                <w:rFonts w:cs="Arial"/>
                <w:color w:val="000000" w:themeColor="text1"/>
                <w:szCs w:val="16"/>
              </w:rPr>
            </w:pPr>
          </w:p>
        </w:tc>
      </w:tr>
    </w:tbl>
    <w:p w14:paraId="39AEFB32" w14:textId="77777777" w:rsidR="00E06C1E" w:rsidRPr="00ED172B" w:rsidRDefault="00E06C1E">
      <w:pPr>
        <w:rPr>
          <w:color w:val="000000" w:themeColor="text1"/>
        </w:rPr>
      </w:pPr>
    </w:p>
    <w:p w14:paraId="08E78090" w14:textId="77777777" w:rsidR="00E06C1E" w:rsidRPr="00A40EE1" w:rsidRDefault="000D0117" w:rsidP="007B0787">
      <w:pPr>
        <w:pStyle w:val="Heading2"/>
      </w:pPr>
      <w:r w:rsidRPr="00A40EE1">
        <w:t xml:space="preserve">8C - </w:t>
      </w:r>
      <w:r w:rsidR="00E06C1E" w:rsidRPr="00A40EE1">
        <w:t>Prior FFY Required Actions</w:t>
      </w:r>
    </w:p>
    <w:p w14:paraId="343BCE28" w14:textId="77777777" w:rsidR="00720D77" w:rsidRPr="00ED172B" w:rsidRDefault="00320806" w:rsidP="00E06C1E">
      <w:pPr>
        <w:rPr>
          <w:rFonts w:cs="Arial"/>
          <w:color w:val="000000" w:themeColor="text1"/>
          <w:szCs w:val="16"/>
        </w:rPr>
      </w:pPr>
      <w:r w:rsidRPr="00ED172B">
        <w:rPr>
          <w:color w:val="000000" w:themeColor="text1"/>
        </w:rPr>
        <w:t>None</w:t>
      </w:r>
    </w:p>
    <w:p w14:paraId="7560B70F" w14:textId="77777777" w:rsidR="00E06C1E" w:rsidRPr="00A40EE1" w:rsidRDefault="000D0117" w:rsidP="007B0787">
      <w:pPr>
        <w:pStyle w:val="Heading2"/>
      </w:pPr>
      <w:r w:rsidRPr="00A40EE1">
        <w:t xml:space="preserve">8C - </w:t>
      </w:r>
      <w:r w:rsidR="00E06C1E" w:rsidRPr="00A40EE1">
        <w:t>OSEP Response</w:t>
      </w:r>
    </w:p>
    <w:p w14:paraId="1A5BB52F" w14:textId="77777777" w:rsidR="00E06C1E" w:rsidRPr="00ED172B" w:rsidRDefault="00E06C1E" w:rsidP="00320806">
      <w:pPr>
        <w:rPr>
          <w:color w:val="000000" w:themeColor="text1"/>
        </w:rPr>
      </w:pPr>
    </w:p>
    <w:p w14:paraId="4B4293EE" w14:textId="77777777" w:rsidR="00E06C1E" w:rsidRPr="00A40EE1" w:rsidRDefault="000D0117" w:rsidP="007B0787">
      <w:pPr>
        <w:pStyle w:val="Heading2"/>
      </w:pPr>
      <w:r w:rsidRPr="00A40EE1">
        <w:t xml:space="preserve">8C - </w:t>
      </w:r>
      <w:r w:rsidR="00E06C1E" w:rsidRPr="00A40EE1">
        <w:t>Required Actions</w:t>
      </w:r>
    </w:p>
    <w:p w14:paraId="5431F2B8" w14:textId="77777777" w:rsidR="00E06C1E" w:rsidRPr="00ED172B" w:rsidRDefault="00E06C1E" w:rsidP="00320806">
      <w:pPr>
        <w:rPr>
          <w:color w:val="000000" w:themeColor="text1"/>
        </w:rPr>
      </w:pPr>
    </w:p>
    <w:p w14:paraId="1B394DD8"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006C1883" w14:textId="77777777" w:rsidR="00B3462E" w:rsidRPr="00ED172B" w:rsidRDefault="00B3462E" w:rsidP="0077063D">
      <w:pPr>
        <w:pStyle w:val="Heading1"/>
        <w:rPr>
          <w:color w:val="000000" w:themeColor="text1"/>
        </w:rPr>
      </w:pPr>
      <w:bookmarkStart w:id="46" w:name="_Toc382082390"/>
      <w:bookmarkStart w:id="47" w:name="_Toc392159339"/>
      <w:bookmarkEnd w:id="42"/>
      <w:r w:rsidRPr="00ED172B">
        <w:rPr>
          <w:color w:val="000000" w:themeColor="text1"/>
        </w:rPr>
        <w:lastRenderedPageBreak/>
        <w:t>Indicator 9: Resolution Sessions</w:t>
      </w:r>
      <w:bookmarkEnd w:id="46"/>
      <w:bookmarkEnd w:id="47"/>
    </w:p>
    <w:p w14:paraId="4DF5002D" w14:textId="77777777" w:rsidR="00F51610" w:rsidRPr="00ED172B" w:rsidRDefault="00F51610" w:rsidP="00186420">
      <w:pPr>
        <w:rPr>
          <w:color w:val="000000" w:themeColor="text1"/>
          <w:szCs w:val="20"/>
        </w:rPr>
      </w:pPr>
      <w:bookmarkStart w:id="48" w:name="_Toc381786822"/>
      <w:bookmarkStart w:id="49" w:name="_Toc382731911"/>
      <w:bookmarkStart w:id="50" w:name="_Toc382731912"/>
      <w:bookmarkStart w:id="51" w:name="_Toc392159340"/>
      <w:bookmarkEnd w:id="48"/>
      <w:bookmarkEnd w:id="49"/>
      <w:r w:rsidRPr="00ED172B">
        <w:rPr>
          <w:b/>
          <w:color w:val="000000" w:themeColor="text1"/>
          <w:sz w:val="20"/>
          <w:szCs w:val="20"/>
        </w:rPr>
        <w:t>Instructions and Measurement</w:t>
      </w:r>
    </w:p>
    <w:p w14:paraId="4B14AD18"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7341427D"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9A0AE45" w14:textId="77777777" w:rsidR="00FE403B" w:rsidRPr="00ED172B" w:rsidRDefault="00FE403B">
      <w:pPr>
        <w:rPr>
          <w:b/>
          <w:color w:val="000000" w:themeColor="text1"/>
        </w:rPr>
      </w:pPr>
      <w:r w:rsidRPr="00ED172B">
        <w:rPr>
          <w:b/>
          <w:color w:val="000000" w:themeColor="text1"/>
        </w:rPr>
        <w:t>Data Source</w:t>
      </w:r>
    </w:p>
    <w:p w14:paraId="144A6675" w14:textId="77777777" w:rsidR="005916DB" w:rsidRPr="00F446DC" w:rsidRDefault="005916DB" w:rsidP="005916DB">
      <w:pPr>
        <w:rPr>
          <w:szCs w:val="16"/>
        </w:rPr>
      </w:pPr>
      <w:r w:rsidRPr="00ED3380">
        <w:rPr>
          <w:szCs w:val="16"/>
        </w:rPr>
        <w:t xml:space="preserve">Same data as used for reporting to the Department under section 618 of the IDEA, using the definitions in </w:t>
      </w:r>
      <w:proofErr w:type="spellStart"/>
      <w:r w:rsidRPr="00ED3380">
        <w:rPr>
          <w:szCs w:val="16"/>
        </w:rPr>
        <w:t>EDFacts</w:t>
      </w:r>
      <w:proofErr w:type="spellEnd"/>
      <w:r w:rsidRPr="00ED3380">
        <w:rPr>
          <w:szCs w:val="16"/>
        </w:rPr>
        <w:t xml:space="preserve"> file specification FS908</w:t>
      </w:r>
      <w:r w:rsidRPr="0084279D">
        <w:rPr>
          <w:rFonts w:cs="Arial"/>
          <w:szCs w:val="16"/>
        </w:rPr>
        <w:t>.</w:t>
      </w:r>
    </w:p>
    <w:p w14:paraId="054964BC" w14:textId="77777777" w:rsidR="00FE403B" w:rsidRPr="00ED172B" w:rsidRDefault="00FE403B">
      <w:pPr>
        <w:rPr>
          <w:b/>
          <w:color w:val="000000" w:themeColor="text1"/>
        </w:rPr>
      </w:pPr>
      <w:r w:rsidRPr="00ED172B">
        <w:rPr>
          <w:b/>
          <w:color w:val="000000" w:themeColor="text1"/>
        </w:rPr>
        <w:t>Measurement</w:t>
      </w:r>
    </w:p>
    <w:p w14:paraId="6BAA25AF" w14:textId="77777777" w:rsidR="00F90BF8" w:rsidRPr="00ED172B" w:rsidRDefault="00F90BF8" w:rsidP="00715B7C">
      <w:pPr>
        <w:rPr>
          <w:color w:val="000000" w:themeColor="text1"/>
          <w:szCs w:val="16"/>
        </w:rPr>
      </w:pPr>
      <w:r w:rsidRPr="00ED172B">
        <w:rPr>
          <w:color w:val="000000" w:themeColor="text1"/>
          <w:szCs w:val="16"/>
        </w:rPr>
        <w:t>Percent = (3.1(a) divided by 3.1) times 100.</w:t>
      </w:r>
    </w:p>
    <w:p w14:paraId="79749CE9" w14:textId="77777777" w:rsidR="00FE403B" w:rsidRPr="00ED172B" w:rsidRDefault="00FE403B">
      <w:pPr>
        <w:rPr>
          <w:b/>
          <w:color w:val="000000" w:themeColor="text1"/>
        </w:rPr>
      </w:pPr>
      <w:r w:rsidRPr="00ED172B">
        <w:rPr>
          <w:b/>
          <w:color w:val="000000" w:themeColor="text1"/>
        </w:rPr>
        <w:t>Instructions</w:t>
      </w:r>
    </w:p>
    <w:p w14:paraId="09B49E0B"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11FC829" w14:textId="77777777"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6B4EC7A0"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484D3358" w14:textId="7777777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resolution sessions is less than 10. In a reporting period when the number of resolution sessions reaches 10 or greater, the State must develop baselines and targets and report them in the corresponding SPP/APR.</w:t>
      </w:r>
    </w:p>
    <w:p w14:paraId="54B7984D" w14:textId="77777777"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225A99F1"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8D06F79"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0"/>
    <w:bookmarkEnd w:id="51"/>
    <w:p w14:paraId="3F511BEC" w14:textId="77777777" w:rsidR="007F0CEC" w:rsidRPr="00A40EE1" w:rsidRDefault="000D0117" w:rsidP="007B0787">
      <w:pPr>
        <w:pStyle w:val="Heading2"/>
      </w:pPr>
      <w:r w:rsidRPr="00A40EE1">
        <w:t xml:space="preserve">9 - </w:t>
      </w:r>
      <w:r w:rsidR="00715B7C" w:rsidRPr="00A40EE1">
        <w:t>Indicator Data</w:t>
      </w:r>
    </w:p>
    <w:p w14:paraId="25A8F198" w14:textId="77777777" w:rsidR="00524F62" w:rsidRPr="00ED172B" w:rsidRDefault="00524F62" w:rsidP="00524F62">
      <w:pPr>
        <w:rPr>
          <w:b/>
          <w:color w:val="000000" w:themeColor="text1"/>
        </w:rPr>
      </w:pPr>
      <w:r w:rsidRPr="00ED172B">
        <w:rPr>
          <w:b/>
          <w:color w:val="000000" w:themeColor="text1"/>
        </w:rPr>
        <w:t>Not Applicable</w:t>
      </w:r>
    </w:p>
    <w:p w14:paraId="5D492B49" w14:textId="77777777"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5B0E6BE8" w14:textId="77777777" w:rsidR="00D12606" w:rsidRPr="00ED172B" w:rsidRDefault="00860830" w:rsidP="00B83404">
      <w:pPr>
        <w:rPr>
          <w:color w:val="000000" w:themeColor="text1"/>
        </w:rPr>
      </w:pPr>
      <w:r w:rsidRPr="00ED172B">
        <w:rPr>
          <w:color w:val="000000" w:themeColor="text1"/>
        </w:rPr>
        <w:t>NO</w:t>
      </w:r>
    </w:p>
    <w:p w14:paraId="534E7BB2" w14:textId="77777777" w:rsidR="00781A26" w:rsidRPr="00ED172B" w:rsidRDefault="00D12606" w:rsidP="00B83404">
      <w:pPr>
        <w:rPr>
          <w:b/>
          <w:color w:val="000000" w:themeColor="text1"/>
        </w:rPr>
      </w:pPr>
      <w:r w:rsidRPr="00ED172B">
        <w:rPr>
          <w:rFonts w:cs="Arial"/>
          <w:b/>
          <w:color w:val="000000" w:themeColor="text1"/>
          <w:szCs w:val="16"/>
        </w:rPr>
        <w:t>Select yes to use target ranges.</w:t>
      </w:r>
      <w:r w:rsidR="00781A26" w:rsidRPr="00ED172B">
        <w:rPr>
          <w:b/>
          <w:color w:val="000000" w:themeColor="text1"/>
        </w:rPr>
        <w:t xml:space="preserve"> </w:t>
      </w:r>
    </w:p>
    <w:p w14:paraId="04EC4265" w14:textId="77777777" w:rsidR="00D12606" w:rsidRPr="00ED172B" w:rsidRDefault="00D12606" w:rsidP="00B83404">
      <w:pPr>
        <w:rPr>
          <w:color w:val="000000" w:themeColor="text1"/>
        </w:rPr>
      </w:pPr>
      <w:r w:rsidRPr="00ED172B">
        <w:rPr>
          <w:rFonts w:cs="Arial"/>
          <w:color w:val="000000" w:themeColor="text1"/>
          <w:szCs w:val="16"/>
        </w:rPr>
        <w:t>Target Range not used</w:t>
      </w:r>
    </w:p>
    <w:p w14:paraId="76BBD14A" w14:textId="77777777" w:rsidR="00DC16A4" w:rsidRPr="00ED172B" w:rsidRDefault="00C93FA8">
      <w:pPr>
        <w:rPr>
          <w:b/>
          <w:color w:val="000000" w:themeColor="text1"/>
        </w:rPr>
      </w:pPr>
      <w:bookmarkStart w:id="52" w:name="_Toc382731913"/>
      <w:bookmarkStart w:id="53" w:name="_Toc392159341"/>
      <w:r w:rsidRPr="00ED172B">
        <w:rPr>
          <w:b/>
          <w:color w:val="000000" w:themeColor="text1"/>
        </w:rPr>
        <w:t xml:space="preserve">Select yes if the data reported in this indicator </w:t>
      </w:r>
      <w:proofErr w:type="gramStart"/>
      <w:r w:rsidRPr="00ED172B">
        <w:rPr>
          <w:b/>
          <w:color w:val="000000" w:themeColor="text1"/>
        </w:rPr>
        <w:t>are</w:t>
      </w:r>
      <w:proofErr w:type="gramEnd"/>
      <w:r w:rsidRPr="00ED172B">
        <w:rPr>
          <w:b/>
          <w:color w:val="000000" w:themeColor="text1"/>
        </w:rPr>
        <w:t xml:space="preserve"> not the same as the State’s data reported under Section 618 of the IDEA.</w:t>
      </w:r>
    </w:p>
    <w:p w14:paraId="1E58F15B" w14:textId="77777777" w:rsidR="00C93FA8" w:rsidRDefault="00C93FA8">
      <w:pPr>
        <w:rPr>
          <w:color w:val="000000" w:themeColor="text1"/>
        </w:rPr>
      </w:pPr>
      <w:r w:rsidRPr="00ED172B">
        <w:rPr>
          <w:color w:val="000000" w:themeColor="text1"/>
        </w:rPr>
        <w:t>NO</w:t>
      </w:r>
    </w:p>
    <w:p w14:paraId="552FF212" w14:textId="77777777"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PREPOPDATA"/>
      </w:tblPr>
      <w:tblGrid>
        <w:gridCol w:w="3235"/>
        <w:gridCol w:w="3332"/>
        <w:gridCol w:w="2695"/>
        <w:gridCol w:w="1528"/>
      </w:tblGrid>
      <w:tr w:rsidR="00ED172B" w:rsidRPr="00ED172B" w14:paraId="3366EAB0" w14:textId="77777777" w:rsidTr="00986B99">
        <w:trPr>
          <w:trHeight w:val="372"/>
          <w:tblHeader/>
        </w:trPr>
        <w:tc>
          <w:tcPr>
            <w:tcW w:w="1499" w:type="pct"/>
          </w:tcPr>
          <w:p w14:paraId="2B66775B"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Source</w:t>
            </w:r>
          </w:p>
        </w:tc>
        <w:tc>
          <w:tcPr>
            <w:tcW w:w="1544" w:type="pct"/>
          </w:tcPr>
          <w:p w14:paraId="14FD973B"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Date</w:t>
            </w:r>
          </w:p>
        </w:tc>
        <w:tc>
          <w:tcPr>
            <w:tcW w:w="1249" w:type="pct"/>
          </w:tcPr>
          <w:p w14:paraId="5F9F7C9C" w14:textId="77777777" w:rsidR="00715B7C" w:rsidRPr="00ED172B" w:rsidRDefault="00715B7C" w:rsidP="00EC51AB">
            <w:pPr>
              <w:spacing w:after="0"/>
              <w:jc w:val="center"/>
              <w:rPr>
                <w:rFonts w:cs="Arial"/>
                <w:b/>
                <w:color w:val="000000" w:themeColor="text1"/>
                <w:szCs w:val="16"/>
              </w:rPr>
            </w:pPr>
            <w:r w:rsidRPr="00ED172B">
              <w:rPr>
                <w:rFonts w:cs="Arial"/>
                <w:b/>
                <w:color w:val="000000" w:themeColor="text1"/>
                <w:szCs w:val="16"/>
              </w:rPr>
              <w:t>Description</w:t>
            </w:r>
          </w:p>
        </w:tc>
        <w:tc>
          <w:tcPr>
            <w:tcW w:w="708" w:type="pct"/>
          </w:tcPr>
          <w:p w14:paraId="047C6622" w14:textId="77777777" w:rsidR="00715B7C" w:rsidRPr="00ED172B" w:rsidRDefault="00715B7C"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7F841C37" w14:textId="77777777" w:rsidTr="00986B99">
        <w:trPr>
          <w:trHeight w:val="380"/>
        </w:trPr>
        <w:tc>
          <w:tcPr>
            <w:tcW w:w="1499" w:type="pct"/>
          </w:tcPr>
          <w:p w14:paraId="0E462E98" w14:textId="77777777" w:rsidR="00715B7C" w:rsidRPr="00ED172B" w:rsidRDefault="00DE6DA4" w:rsidP="00715B7C">
            <w:pPr>
              <w:rPr>
                <w:rFonts w:cs="Arial"/>
                <w:color w:val="000000" w:themeColor="text1"/>
                <w:szCs w:val="16"/>
              </w:rPr>
            </w:pPr>
            <w:r w:rsidRPr="00ED172B">
              <w:rPr>
                <w:rFonts w:cs="Arial"/>
                <w:color w:val="000000" w:themeColor="text1"/>
                <w:szCs w:val="16"/>
              </w:rPr>
              <w:t>SY 2024-25 IDEA Part C Dispute Resolution - Due Process Complaints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FS908; Data group 5031)</w:t>
            </w:r>
          </w:p>
        </w:tc>
        <w:tc>
          <w:tcPr>
            <w:tcW w:w="1544" w:type="pct"/>
          </w:tcPr>
          <w:p w14:paraId="357629BA" w14:textId="77777777" w:rsidR="00715B7C" w:rsidRPr="00ED172B" w:rsidRDefault="00DE6DA4" w:rsidP="00D21F29">
            <w:pPr>
              <w:jc w:val="center"/>
              <w:rPr>
                <w:rFonts w:cs="Arial"/>
                <w:color w:val="000000" w:themeColor="text1"/>
                <w:szCs w:val="16"/>
              </w:rPr>
            </w:pPr>
            <w:r w:rsidRPr="00ED172B">
              <w:rPr>
                <w:rFonts w:cs="Arial"/>
                <w:color w:val="000000" w:themeColor="text1"/>
                <w:szCs w:val="16"/>
              </w:rPr>
              <w:t>11/19/2025</w:t>
            </w:r>
          </w:p>
        </w:tc>
        <w:tc>
          <w:tcPr>
            <w:tcW w:w="1249" w:type="pct"/>
          </w:tcPr>
          <w:p w14:paraId="112B9A5E" w14:textId="77777777" w:rsidR="00715B7C" w:rsidRPr="00ED172B" w:rsidRDefault="00715B7C" w:rsidP="00AC2D23">
            <w:pPr>
              <w:rPr>
                <w:rFonts w:cs="Arial"/>
                <w:color w:val="000000" w:themeColor="text1"/>
                <w:szCs w:val="16"/>
              </w:rPr>
            </w:pPr>
            <w:r w:rsidRPr="00ED172B">
              <w:rPr>
                <w:rFonts w:cs="Arial"/>
                <w:color w:val="000000" w:themeColor="text1"/>
                <w:szCs w:val="16"/>
              </w:rPr>
              <w:t>3.1 Number of resolution sessions</w:t>
            </w:r>
          </w:p>
        </w:tc>
        <w:tc>
          <w:tcPr>
            <w:tcW w:w="708" w:type="pct"/>
          </w:tcPr>
          <w:p w14:paraId="50CDBACD" w14:textId="77777777" w:rsidR="00715B7C" w:rsidRPr="00ED172B" w:rsidRDefault="00860830" w:rsidP="00D21F29">
            <w:pPr>
              <w:jc w:val="center"/>
              <w:rPr>
                <w:rFonts w:cs="Arial"/>
                <w:color w:val="000000" w:themeColor="text1"/>
                <w:szCs w:val="16"/>
              </w:rPr>
            </w:pPr>
            <w:r w:rsidRPr="00ED172B">
              <w:rPr>
                <w:rFonts w:cs="Arial"/>
                <w:color w:val="000000" w:themeColor="text1"/>
                <w:szCs w:val="16"/>
              </w:rPr>
              <w:t>0</w:t>
            </w:r>
          </w:p>
        </w:tc>
      </w:tr>
      <w:tr w:rsidR="00ED172B" w:rsidRPr="00ED172B" w14:paraId="6F30B993" w14:textId="77777777" w:rsidTr="00986B99">
        <w:trPr>
          <w:trHeight w:val="380"/>
        </w:trPr>
        <w:tc>
          <w:tcPr>
            <w:tcW w:w="1499" w:type="pct"/>
          </w:tcPr>
          <w:p w14:paraId="0A3B70B5" w14:textId="77777777" w:rsidR="00781A26" w:rsidRPr="00ED172B" w:rsidRDefault="00DE6DA4" w:rsidP="00781A26">
            <w:pPr>
              <w:rPr>
                <w:rFonts w:cs="Arial"/>
                <w:color w:val="000000" w:themeColor="text1"/>
                <w:szCs w:val="16"/>
              </w:rPr>
            </w:pPr>
            <w:r w:rsidRPr="00ED172B">
              <w:rPr>
                <w:rFonts w:cs="Arial"/>
                <w:color w:val="000000" w:themeColor="text1"/>
                <w:szCs w:val="16"/>
              </w:rPr>
              <w:t>SY 2024-25 IDEA Part C Dispute Resolution - Due Process Complaints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FS908; Data group 5031)</w:t>
            </w:r>
          </w:p>
        </w:tc>
        <w:tc>
          <w:tcPr>
            <w:tcW w:w="1544" w:type="pct"/>
          </w:tcPr>
          <w:p w14:paraId="255F73A6" w14:textId="77777777" w:rsidR="00781A26" w:rsidRPr="00ED172B" w:rsidRDefault="00DE6DA4" w:rsidP="00D21F29">
            <w:pPr>
              <w:jc w:val="center"/>
              <w:rPr>
                <w:rFonts w:cs="Arial"/>
                <w:color w:val="000000" w:themeColor="text1"/>
                <w:szCs w:val="16"/>
              </w:rPr>
            </w:pPr>
            <w:r w:rsidRPr="00ED172B">
              <w:rPr>
                <w:rFonts w:cs="Arial"/>
                <w:color w:val="000000" w:themeColor="text1"/>
                <w:szCs w:val="16"/>
              </w:rPr>
              <w:t>11/19/2025</w:t>
            </w:r>
          </w:p>
        </w:tc>
        <w:tc>
          <w:tcPr>
            <w:tcW w:w="1249" w:type="pct"/>
          </w:tcPr>
          <w:p w14:paraId="59E45B01" w14:textId="77777777" w:rsidR="00781A26" w:rsidRPr="00ED172B" w:rsidRDefault="00781A26" w:rsidP="00AC2D23">
            <w:pPr>
              <w:rPr>
                <w:rFonts w:cs="Arial"/>
                <w:color w:val="000000" w:themeColor="text1"/>
                <w:szCs w:val="16"/>
              </w:rPr>
            </w:pPr>
            <w:r w:rsidRPr="00ED172B">
              <w:rPr>
                <w:rFonts w:cs="Arial"/>
                <w:color w:val="000000" w:themeColor="text1"/>
                <w:szCs w:val="16"/>
              </w:rPr>
              <w:t>3.1(a) Number resolution sessions resolved through settlement agreements</w:t>
            </w:r>
          </w:p>
        </w:tc>
        <w:tc>
          <w:tcPr>
            <w:tcW w:w="708" w:type="pct"/>
          </w:tcPr>
          <w:p w14:paraId="28841BF1" w14:textId="77777777" w:rsidR="00781A26"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3B4C321E" w14:textId="77777777" w:rsidR="004761C7" w:rsidRDefault="00F80C9C" w:rsidP="00B83404">
      <w:pPr>
        <w:rPr>
          <w:b/>
          <w:color w:val="000000" w:themeColor="text1"/>
        </w:rPr>
      </w:pPr>
      <w:r w:rsidRPr="00ED172B">
        <w:rPr>
          <w:b/>
          <w:color w:val="000000" w:themeColor="text1"/>
        </w:rPr>
        <w:t>Targets: Description of Stakeholder Input</w:t>
      </w:r>
    </w:p>
    <w:p w14:paraId="752B6A28" w14:textId="77777777" w:rsidR="004761C7" w:rsidRDefault="00CF03E0" w:rsidP="00CF03E0">
      <w:pPr>
        <w:rPr>
          <w:color w:val="000000" w:themeColor="text1"/>
        </w:rPr>
      </w:pPr>
      <w:r w:rsidRPr="00ED172B">
        <w:rPr>
          <w:color w:val="000000" w:themeColor="text1"/>
        </w:rPr>
        <w:t>TEIS incorporates broad stakeholder input when addressing areas of need within the system through multiple channels, including:</w:t>
      </w:r>
    </w:p>
    <w:p w14:paraId="1D9488C1" w14:textId="77777777" w:rsidR="007876EE" w:rsidRDefault="007876EE"/>
    <w:p w14:paraId="664F1047" w14:textId="77777777" w:rsidR="007876EE" w:rsidRDefault="00000000">
      <w:r>
        <w:rPr>
          <w:color w:val="000000"/>
        </w:rPr>
        <w:t>-State Interagency Coordinating Council (SICC) membership and attending visitors.</w:t>
      </w:r>
    </w:p>
    <w:p w14:paraId="02306E88" w14:textId="77777777" w:rsidR="007876EE" w:rsidRDefault="00000000">
      <w:r>
        <w:rPr>
          <w:color w:val="000000"/>
        </w:rPr>
        <w:t>-TEIS, EIRA, and Vendor Advisory Councils.</w:t>
      </w:r>
    </w:p>
    <w:p w14:paraId="170CF8C1" w14:textId="77777777" w:rsidR="007876EE" w:rsidRDefault="00000000">
      <w:r>
        <w:rPr>
          <w:color w:val="000000"/>
        </w:rPr>
        <w:t>-Office Hours sessions.</w:t>
      </w:r>
    </w:p>
    <w:p w14:paraId="67AFB112" w14:textId="77777777" w:rsidR="007876EE" w:rsidRDefault="00000000">
      <w:r>
        <w:rPr>
          <w:color w:val="000000"/>
        </w:rPr>
        <w:t>-Feedback from family surveys, advocacy groups, and local engagement efforts.</w:t>
      </w:r>
    </w:p>
    <w:p w14:paraId="5A28EFC8" w14:textId="77777777" w:rsidR="007876EE" w:rsidRDefault="007876EE"/>
    <w:p w14:paraId="6F83A93D" w14:textId="77777777" w:rsidR="007876EE" w:rsidRDefault="00000000">
      <w:r>
        <w:rPr>
          <w:color w:val="000000"/>
        </w:rPr>
        <w:t>The TEIS website and department newsletter provide stakeholders with consistent updates on program activities and service delivery.</w:t>
      </w:r>
    </w:p>
    <w:p w14:paraId="29008458" w14:textId="77777777" w:rsidR="007876EE" w:rsidRDefault="007876EE"/>
    <w:p w14:paraId="13E1EF20" w14:textId="77777777" w:rsidR="007876EE" w:rsidRDefault="00000000">
      <w:r>
        <w:rPr>
          <w:color w:val="000000"/>
        </w:rPr>
        <w:t>State Interagency Coordinating Council (SICC)</w:t>
      </w:r>
    </w:p>
    <w:p w14:paraId="5D9F5938"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452E94D5" w14:textId="77777777" w:rsidR="007876EE" w:rsidRDefault="007876EE"/>
    <w:p w14:paraId="271080E7" w14:textId="77777777" w:rsidR="007876EE" w:rsidRDefault="00000000">
      <w:r>
        <w:rPr>
          <w:color w:val="000000"/>
        </w:rPr>
        <w:t>Meetings are open to the public, and agenda topics can be submitted via the TEIS website. Topics addressed in 2024-25 included:</w:t>
      </w:r>
    </w:p>
    <w:p w14:paraId="3F2DE95F" w14:textId="77777777" w:rsidR="007876EE" w:rsidRDefault="00000000">
      <w:r>
        <w:rPr>
          <w:color w:val="000000"/>
        </w:rPr>
        <w:t>-HOPE Family Survey results and feedback.</w:t>
      </w:r>
    </w:p>
    <w:p w14:paraId="5F5EB7FA" w14:textId="77777777" w:rsidR="007876EE" w:rsidRDefault="00000000">
      <w:r>
        <w:rPr>
          <w:color w:val="000000"/>
        </w:rPr>
        <w:t>-Results Monitoring.</w:t>
      </w:r>
    </w:p>
    <w:p w14:paraId="4FC4E330" w14:textId="77777777" w:rsidR="007876EE" w:rsidRDefault="00000000">
      <w:r>
        <w:rPr>
          <w:color w:val="000000"/>
        </w:rPr>
        <w:t>-TEIS Central Office team functions.</w:t>
      </w:r>
    </w:p>
    <w:p w14:paraId="4F4C7B75" w14:textId="77777777" w:rsidR="007876EE" w:rsidRDefault="00000000">
      <w:r>
        <w:rPr>
          <w:color w:val="000000"/>
        </w:rPr>
        <w:t>-POE initiatives and regional goals.</w:t>
      </w:r>
    </w:p>
    <w:p w14:paraId="44291B3C" w14:textId="77777777" w:rsidR="007876EE" w:rsidRDefault="00000000">
      <w:r>
        <w:rPr>
          <w:color w:val="000000"/>
        </w:rPr>
        <w:t>-Other program updates.</w:t>
      </w:r>
    </w:p>
    <w:p w14:paraId="78069D91" w14:textId="77777777" w:rsidR="007876EE" w:rsidRDefault="007876EE"/>
    <w:p w14:paraId="30D7BC89" w14:textId="77777777" w:rsidR="007876EE" w:rsidRDefault="00000000">
      <w:r>
        <w:rPr>
          <w:color w:val="000000"/>
        </w:rPr>
        <w:t>Additionally, SICC provided direct feedback to OSEP during Tennessee’s DMS 2.0 audit.</w:t>
      </w:r>
    </w:p>
    <w:p w14:paraId="5F68AD28" w14:textId="77777777" w:rsidR="007876EE" w:rsidRDefault="007876EE"/>
    <w:p w14:paraId="4DC7CC1F" w14:textId="77777777" w:rsidR="007876EE" w:rsidRDefault="00000000">
      <w:r>
        <w:rPr>
          <w:color w:val="000000"/>
        </w:rPr>
        <w:t>Advisory Councils</w:t>
      </w:r>
    </w:p>
    <w:p w14:paraId="04EE8D05" w14:textId="77777777" w:rsidR="007876EE" w:rsidRDefault="00000000">
      <w:r>
        <w:rPr>
          <w:color w:val="000000"/>
        </w:rPr>
        <w:t>Two advisory councils serve as key feedback channels:</w:t>
      </w:r>
    </w:p>
    <w:p w14:paraId="4EA49E6E" w14:textId="77777777" w:rsidR="007876EE" w:rsidRDefault="00000000">
      <w:r>
        <w:rPr>
          <w:color w:val="000000"/>
        </w:rPr>
        <w:t>-Early Intervention Resource Agency (EIRA) Advisory Council – Agencies providing developmental therapy.</w:t>
      </w:r>
    </w:p>
    <w:p w14:paraId="1C5EC2D9" w14:textId="77777777" w:rsidR="007876EE" w:rsidRDefault="00000000">
      <w:r>
        <w:rPr>
          <w:color w:val="000000"/>
        </w:rPr>
        <w:t>-Vendor Advisory Council – Agencies providing therapy services (speech, physical, occupational).</w:t>
      </w:r>
    </w:p>
    <w:p w14:paraId="7A65ACFC" w14:textId="77777777" w:rsidR="007876EE" w:rsidRDefault="007876EE"/>
    <w:p w14:paraId="29AA3B8E" w14:textId="77777777" w:rsidR="007876EE" w:rsidRDefault="00000000">
      <w:r>
        <w:rPr>
          <w:color w:val="000000"/>
        </w:rPr>
        <w:t>Updates from both councils are shared at quarterly SICC meetings. Membership includes contracted EIS provider agencies.</w:t>
      </w:r>
    </w:p>
    <w:p w14:paraId="02BB81BE" w14:textId="77777777" w:rsidR="007876EE" w:rsidRDefault="007876EE"/>
    <w:p w14:paraId="6E6D109D" w14:textId="77777777" w:rsidR="007876EE" w:rsidRDefault="00000000">
      <w:r>
        <w:rPr>
          <w:color w:val="000000"/>
        </w:rPr>
        <w:t>EIRA Advisory Council focuses on:</w:t>
      </w:r>
    </w:p>
    <w:p w14:paraId="692358E3" w14:textId="77777777" w:rsidR="007876EE" w:rsidRDefault="00000000">
      <w:r>
        <w:rPr>
          <w:color w:val="000000"/>
        </w:rPr>
        <w:t>-Improving services for children and families.</w:t>
      </w:r>
    </w:p>
    <w:p w14:paraId="0C15E4FE" w14:textId="77777777" w:rsidR="007876EE" w:rsidRDefault="00000000">
      <w:r>
        <w:rPr>
          <w:color w:val="000000"/>
        </w:rPr>
        <w:t>-Increasing access to services statewide.</w:t>
      </w:r>
    </w:p>
    <w:p w14:paraId="3EFEA6A9" w14:textId="77777777" w:rsidR="007876EE" w:rsidRDefault="00000000">
      <w:r>
        <w:rPr>
          <w:color w:val="000000"/>
        </w:rPr>
        <w:t>-Enhancing communication between TEIS and EIRAs.</w:t>
      </w:r>
    </w:p>
    <w:p w14:paraId="4A4C78B0" w14:textId="77777777" w:rsidR="007876EE" w:rsidRDefault="007876EE"/>
    <w:p w14:paraId="72BEC2DD"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1B468AB4" w14:textId="77777777" w:rsidR="007876EE" w:rsidRDefault="007876EE"/>
    <w:p w14:paraId="7C43DCF3" w14:textId="77777777" w:rsidR="007876EE" w:rsidRDefault="00000000">
      <w:r>
        <w:rPr>
          <w:color w:val="000000"/>
        </w:rPr>
        <w:t>Vendor Advisory Council collaborates on:</w:t>
      </w:r>
    </w:p>
    <w:p w14:paraId="52805402" w14:textId="77777777" w:rsidR="007876EE" w:rsidRDefault="00000000">
      <w:r>
        <w:rPr>
          <w:color w:val="000000"/>
        </w:rPr>
        <w:t>-Issues impacting therapy vendors.</w:t>
      </w:r>
    </w:p>
    <w:p w14:paraId="2023A2C6" w14:textId="77777777" w:rsidR="007876EE" w:rsidRDefault="00000000">
      <w:r>
        <w:rPr>
          <w:color w:val="000000"/>
        </w:rPr>
        <w:t>-Streamlining billing and business processes.</w:t>
      </w:r>
    </w:p>
    <w:p w14:paraId="12285BCD" w14:textId="77777777" w:rsidR="007876EE" w:rsidRDefault="00000000">
      <w:r>
        <w:rPr>
          <w:color w:val="000000"/>
        </w:rPr>
        <w:t>-Improving IFSP teaming in partnership with the EIRA Advisory Council.</w:t>
      </w:r>
    </w:p>
    <w:p w14:paraId="31568118" w14:textId="77777777" w:rsidR="007876EE" w:rsidRDefault="007876EE"/>
    <w:p w14:paraId="5EA34358" w14:textId="77777777" w:rsidR="007876EE" w:rsidRDefault="00000000">
      <w:r>
        <w:rPr>
          <w:color w:val="000000"/>
        </w:rPr>
        <w:t>Council Structure</w:t>
      </w:r>
    </w:p>
    <w:p w14:paraId="385B67B4"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25A62AFA" w14:textId="77777777" w:rsidR="007876EE" w:rsidRDefault="007876EE"/>
    <w:p w14:paraId="72CB7057" w14:textId="77777777" w:rsidR="007876EE" w:rsidRDefault="00000000">
      <w:r>
        <w:rPr>
          <w:color w:val="000000"/>
        </w:rPr>
        <w:t>Office Hours</w:t>
      </w:r>
    </w:p>
    <w:p w14:paraId="01A1AA4D"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320F06A5" w14:textId="77777777" w:rsidR="007876EE" w:rsidRDefault="007876EE"/>
    <w:p w14:paraId="057EA40A" w14:textId="77777777" w:rsidR="007876EE" w:rsidRDefault="00000000">
      <w:r>
        <w:rPr>
          <w:color w:val="000000"/>
        </w:rPr>
        <w:t>Parent Engagement</w:t>
      </w:r>
    </w:p>
    <w:p w14:paraId="6667C62C" w14:textId="77777777" w:rsidR="007876EE" w:rsidRDefault="00000000">
      <w:r>
        <w:rPr>
          <w:color w:val="000000"/>
        </w:rPr>
        <w:t>Stakeholder engagement activities—along with professional development and technical assistance—help build the capacity of parents through:</w:t>
      </w:r>
    </w:p>
    <w:p w14:paraId="362A6076" w14:textId="77777777" w:rsidR="007876EE" w:rsidRDefault="00000000">
      <w:r>
        <w:rPr>
          <w:color w:val="000000"/>
        </w:rPr>
        <w:t>-Direct engagement: Participation in SICC or local councils, training sessions, surveys, and direct communication with TEIS leadership.</w:t>
      </w:r>
    </w:p>
    <w:p w14:paraId="12C36231" w14:textId="77777777" w:rsidR="007876EE" w:rsidRDefault="00000000">
      <w:r>
        <w:rPr>
          <w:color w:val="000000"/>
        </w:rPr>
        <w:t>-Indirect engagement: Training and monitoring systems that strengthen IFSP team members’ knowledge and skills, benefiting children and families.</w:t>
      </w:r>
    </w:p>
    <w:p w14:paraId="6C9AA4AD" w14:textId="77777777" w:rsidR="00F80C9C" w:rsidRPr="00ED172B" w:rsidRDefault="00F80C9C" w:rsidP="00B83404">
      <w:pPr>
        <w:rPr>
          <w:color w:val="000000" w:themeColor="text1"/>
        </w:rPr>
      </w:pPr>
    </w:p>
    <w:p w14:paraId="03AC6781" w14:textId="77777777" w:rsidR="0097671A" w:rsidRDefault="0097671A" w:rsidP="00B83404">
      <w:pPr>
        <w:rPr>
          <w:b/>
          <w:color w:val="000000" w:themeColor="text1"/>
        </w:rPr>
      </w:pPr>
      <w:r w:rsidRPr="00ED172B">
        <w:rPr>
          <w:b/>
          <w:color w:val="000000" w:themeColor="text1"/>
        </w:rPr>
        <w:t>Historical Data</w:t>
      </w:r>
    </w:p>
    <w:p w14:paraId="080B6DA6" w14:textId="77777777" w:rsidR="000378F3" w:rsidRDefault="000378F3" w:rsidP="00B83404">
      <w:pPr>
        <w:rPr>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BASELINEDATA"/>
      </w:tblPr>
      <w:tblGrid>
        <w:gridCol w:w="2899"/>
        <w:gridCol w:w="875"/>
      </w:tblGrid>
      <w:tr w:rsidR="000378F3" w:rsidRPr="00ED172B" w14:paraId="1A8FA4E4" w14:textId="77777777" w:rsidTr="00A40EE1">
        <w:trPr>
          <w:trHeight w:val="350"/>
          <w:tblHeader/>
        </w:trPr>
        <w:tc>
          <w:tcPr>
            <w:tcW w:w="4285" w:type="pct"/>
            <w:tcBorders>
              <w:bottom w:val="single" w:sz="4" w:space="0" w:color="auto"/>
            </w:tcBorders>
            <w:vAlign w:val="center"/>
          </w:tcPr>
          <w:p w14:paraId="397A2C1B" w14:textId="77777777" w:rsidR="000378F3" w:rsidRPr="001071FD" w:rsidRDefault="000378F3" w:rsidP="00C15786">
            <w:pPr>
              <w:jc w:val="center"/>
              <w:rPr>
                <w:b/>
                <w:bCs/>
                <w:color w:val="000000" w:themeColor="text1"/>
              </w:rPr>
            </w:pPr>
            <w:r>
              <w:rPr>
                <w:b/>
                <w:bCs/>
                <w:color w:val="000000" w:themeColor="text1"/>
              </w:rPr>
              <w:t>Baseline Year</w:t>
            </w:r>
          </w:p>
        </w:tc>
        <w:tc>
          <w:tcPr>
            <w:tcW w:w="715" w:type="pct"/>
            <w:vAlign w:val="center"/>
          </w:tcPr>
          <w:p w14:paraId="1EFAE77F"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78B1F000" w14:textId="77777777" w:rsidTr="00A40EE1">
        <w:trPr>
          <w:trHeight w:val="350"/>
        </w:trPr>
        <w:tc>
          <w:tcPr>
            <w:tcW w:w="4285" w:type="pct"/>
            <w:tcBorders>
              <w:bottom w:val="single" w:sz="4" w:space="0" w:color="auto"/>
            </w:tcBorders>
          </w:tcPr>
          <w:p w14:paraId="13B589AF" w14:textId="77777777" w:rsidR="000378F3" w:rsidRPr="00ED172B" w:rsidRDefault="000378F3" w:rsidP="000378F3">
            <w:pPr>
              <w:jc w:val="center"/>
              <w:rPr>
                <w:b/>
                <w:color w:val="000000" w:themeColor="text1"/>
              </w:rPr>
            </w:pPr>
          </w:p>
        </w:tc>
        <w:tc>
          <w:tcPr>
            <w:tcW w:w="715" w:type="pct"/>
            <w:vAlign w:val="center"/>
          </w:tcPr>
          <w:p w14:paraId="366FC3A9" w14:textId="77777777" w:rsidR="000378F3" w:rsidRPr="00ED172B" w:rsidRDefault="000378F3" w:rsidP="000378F3">
            <w:pPr>
              <w:jc w:val="center"/>
              <w:rPr>
                <w:color w:val="000000" w:themeColor="text1"/>
              </w:rPr>
            </w:pPr>
          </w:p>
        </w:tc>
      </w:tr>
    </w:tbl>
    <w:p w14:paraId="5D512663" w14:textId="77777777" w:rsidR="000378F3" w:rsidRPr="00ED172B" w:rsidRDefault="000378F3" w:rsidP="00B8340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HISTDATA"/>
      </w:tblPr>
      <w:tblGrid>
        <w:gridCol w:w="1345"/>
        <w:gridCol w:w="1889"/>
        <w:gridCol w:w="1889"/>
        <w:gridCol w:w="1889"/>
        <w:gridCol w:w="1889"/>
        <w:gridCol w:w="1889"/>
      </w:tblGrid>
      <w:tr w:rsidR="00ED172B" w:rsidRPr="00ED172B" w14:paraId="1473B0BF" w14:textId="77777777" w:rsidTr="00986B99">
        <w:trPr>
          <w:trHeight w:val="350"/>
        </w:trPr>
        <w:tc>
          <w:tcPr>
            <w:tcW w:w="623" w:type="pct"/>
            <w:tcBorders>
              <w:bottom w:val="single" w:sz="4" w:space="0" w:color="auto"/>
            </w:tcBorders>
          </w:tcPr>
          <w:p w14:paraId="0D3A7D82" w14:textId="77777777" w:rsidR="0097671A" w:rsidRPr="00ED172B" w:rsidRDefault="0097671A" w:rsidP="00186420">
            <w:pPr>
              <w:jc w:val="center"/>
              <w:rPr>
                <w:rFonts w:cs="Arial"/>
                <w:b/>
                <w:color w:val="000000" w:themeColor="text1"/>
                <w:szCs w:val="16"/>
              </w:rPr>
            </w:pPr>
            <w:r w:rsidRPr="00ED172B">
              <w:rPr>
                <w:rFonts w:cs="Arial"/>
                <w:b/>
                <w:color w:val="000000" w:themeColor="text1"/>
                <w:szCs w:val="16"/>
              </w:rPr>
              <w:t>FFY</w:t>
            </w:r>
          </w:p>
        </w:tc>
        <w:tc>
          <w:tcPr>
            <w:tcW w:w="875" w:type="pct"/>
          </w:tcPr>
          <w:p w14:paraId="17ED9A07"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tcPr>
          <w:p w14:paraId="113AC20E"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vAlign w:val="center"/>
          </w:tcPr>
          <w:p w14:paraId="16335FD1"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vAlign w:val="center"/>
          </w:tcPr>
          <w:p w14:paraId="4BEF8867" w14:textId="77777777" w:rsidR="0097671A" w:rsidRPr="00ED172B" w:rsidRDefault="002163F2" w:rsidP="00CD79C5">
            <w:pPr>
              <w:jc w:val="center"/>
              <w:rPr>
                <w:rFonts w:cs="Arial"/>
                <w:b/>
                <w:color w:val="000000" w:themeColor="text1"/>
                <w:szCs w:val="16"/>
              </w:rPr>
            </w:pPr>
            <w:r w:rsidRPr="00ED172B">
              <w:rPr>
                <w:rFonts w:cs="Arial"/>
                <w:b/>
                <w:color w:val="000000" w:themeColor="text1"/>
                <w:szCs w:val="16"/>
              </w:rPr>
              <w:t>2022</w:t>
            </w:r>
          </w:p>
        </w:tc>
        <w:tc>
          <w:tcPr>
            <w:tcW w:w="875" w:type="pct"/>
            <w:vAlign w:val="center"/>
          </w:tcPr>
          <w:p w14:paraId="3F50A917" w14:textId="77777777" w:rsidR="0097671A" w:rsidRPr="00ED172B" w:rsidRDefault="006D43D3" w:rsidP="00CD79C5">
            <w:pPr>
              <w:jc w:val="center"/>
              <w:rPr>
                <w:rFonts w:cs="Arial"/>
                <w:b/>
                <w:color w:val="000000" w:themeColor="text1"/>
                <w:szCs w:val="16"/>
              </w:rPr>
            </w:pPr>
            <w:r w:rsidRPr="00ED172B">
              <w:rPr>
                <w:rFonts w:cs="Arial"/>
                <w:b/>
                <w:color w:val="000000" w:themeColor="text1"/>
                <w:szCs w:val="16"/>
              </w:rPr>
              <w:t>2023</w:t>
            </w:r>
          </w:p>
        </w:tc>
      </w:tr>
      <w:tr w:rsidR="00ED172B" w:rsidRPr="00ED172B" w14:paraId="020480DD" w14:textId="77777777" w:rsidTr="00986B99">
        <w:trPr>
          <w:trHeight w:val="357"/>
        </w:trPr>
        <w:tc>
          <w:tcPr>
            <w:tcW w:w="623" w:type="pct"/>
          </w:tcPr>
          <w:p w14:paraId="35505D9D"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Target&gt;=</w:t>
            </w:r>
          </w:p>
        </w:tc>
        <w:tc>
          <w:tcPr>
            <w:tcW w:w="875" w:type="pct"/>
          </w:tcPr>
          <w:p w14:paraId="67241BC9" w14:textId="77777777" w:rsidR="0097671A" w:rsidRPr="00ED172B" w:rsidRDefault="004374D6" w:rsidP="00186420">
            <w:pPr>
              <w:jc w:val="center"/>
              <w:rPr>
                <w:rFonts w:cs="Arial"/>
                <w:color w:val="000000" w:themeColor="text1"/>
                <w:szCs w:val="16"/>
              </w:rPr>
            </w:pPr>
            <w:r w:rsidRPr="00ED172B">
              <w:rPr>
                <w:rFonts w:cs="Arial"/>
                <w:color w:val="000000" w:themeColor="text1"/>
                <w:szCs w:val="16"/>
              </w:rPr>
              <w:t>.00%</w:t>
            </w:r>
          </w:p>
        </w:tc>
        <w:tc>
          <w:tcPr>
            <w:tcW w:w="875" w:type="pct"/>
          </w:tcPr>
          <w:p w14:paraId="6F4AE05C" w14:textId="77777777" w:rsidR="0097671A" w:rsidRPr="00ED172B" w:rsidRDefault="0097671A" w:rsidP="00186420">
            <w:pPr>
              <w:jc w:val="center"/>
              <w:rPr>
                <w:rFonts w:cs="Arial"/>
                <w:color w:val="000000" w:themeColor="text1"/>
                <w:szCs w:val="16"/>
              </w:rPr>
            </w:pPr>
          </w:p>
        </w:tc>
        <w:tc>
          <w:tcPr>
            <w:tcW w:w="875" w:type="pct"/>
            <w:vAlign w:val="center"/>
          </w:tcPr>
          <w:p w14:paraId="268E0A4E" w14:textId="77777777" w:rsidR="0097671A" w:rsidRPr="00ED172B" w:rsidRDefault="0097671A" w:rsidP="00186420">
            <w:pPr>
              <w:jc w:val="center"/>
              <w:rPr>
                <w:rFonts w:cs="Arial"/>
                <w:color w:val="000000" w:themeColor="text1"/>
                <w:szCs w:val="16"/>
              </w:rPr>
            </w:pPr>
          </w:p>
        </w:tc>
        <w:tc>
          <w:tcPr>
            <w:tcW w:w="875" w:type="pct"/>
            <w:vAlign w:val="center"/>
          </w:tcPr>
          <w:p w14:paraId="322E26EE" w14:textId="77777777" w:rsidR="0097671A" w:rsidRPr="00ED172B" w:rsidRDefault="0097671A" w:rsidP="00186420">
            <w:pPr>
              <w:jc w:val="center"/>
              <w:rPr>
                <w:rFonts w:cs="Arial"/>
                <w:color w:val="000000" w:themeColor="text1"/>
                <w:szCs w:val="16"/>
              </w:rPr>
            </w:pPr>
          </w:p>
        </w:tc>
        <w:tc>
          <w:tcPr>
            <w:tcW w:w="875" w:type="pct"/>
            <w:vAlign w:val="center"/>
          </w:tcPr>
          <w:p w14:paraId="2F985513" w14:textId="77777777" w:rsidR="0097671A" w:rsidRPr="00ED172B" w:rsidRDefault="0097671A" w:rsidP="00186420">
            <w:pPr>
              <w:jc w:val="center"/>
              <w:rPr>
                <w:rFonts w:cs="Arial"/>
                <w:color w:val="000000" w:themeColor="text1"/>
                <w:szCs w:val="16"/>
              </w:rPr>
            </w:pPr>
          </w:p>
        </w:tc>
      </w:tr>
      <w:tr w:rsidR="00ED172B" w:rsidRPr="00ED172B" w14:paraId="61539F27" w14:textId="77777777" w:rsidTr="00986B99">
        <w:trPr>
          <w:trHeight w:val="85"/>
        </w:trPr>
        <w:tc>
          <w:tcPr>
            <w:tcW w:w="623" w:type="pct"/>
          </w:tcPr>
          <w:p w14:paraId="01D0524A" w14:textId="77777777" w:rsidR="0097671A" w:rsidRPr="00ED172B" w:rsidRDefault="0097671A" w:rsidP="00D21F29">
            <w:pPr>
              <w:jc w:val="center"/>
              <w:rPr>
                <w:rFonts w:cs="Arial"/>
                <w:color w:val="000000" w:themeColor="text1"/>
                <w:szCs w:val="16"/>
              </w:rPr>
            </w:pPr>
            <w:r w:rsidRPr="00ED172B">
              <w:rPr>
                <w:rFonts w:cs="Arial"/>
                <w:color w:val="000000" w:themeColor="text1"/>
                <w:szCs w:val="16"/>
              </w:rPr>
              <w:t>Data</w:t>
            </w:r>
          </w:p>
        </w:tc>
        <w:tc>
          <w:tcPr>
            <w:tcW w:w="875" w:type="pct"/>
          </w:tcPr>
          <w:p w14:paraId="2FF1969C" w14:textId="77777777" w:rsidR="0097671A" w:rsidRPr="00ED172B" w:rsidRDefault="0097671A" w:rsidP="00186420">
            <w:pPr>
              <w:jc w:val="center"/>
              <w:rPr>
                <w:rFonts w:cs="Arial"/>
                <w:color w:val="000000" w:themeColor="text1"/>
                <w:szCs w:val="16"/>
              </w:rPr>
            </w:pPr>
          </w:p>
        </w:tc>
        <w:tc>
          <w:tcPr>
            <w:tcW w:w="875" w:type="pct"/>
          </w:tcPr>
          <w:p w14:paraId="622BB236"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4160A81F"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341E7352" w14:textId="77777777" w:rsidR="0097671A" w:rsidRPr="00ED172B" w:rsidRDefault="0097671A" w:rsidP="00186420">
            <w:pPr>
              <w:jc w:val="center"/>
              <w:rPr>
                <w:rFonts w:cs="Arial"/>
                <w:color w:val="000000" w:themeColor="text1"/>
                <w:szCs w:val="16"/>
              </w:rPr>
            </w:pPr>
          </w:p>
        </w:tc>
        <w:tc>
          <w:tcPr>
            <w:tcW w:w="875" w:type="pct"/>
            <w:tcBorders>
              <w:bottom w:val="single" w:sz="4" w:space="0" w:color="auto"/>
            </w:tcBorders>
            <w:vAlign w:val="center"/>
          </w:tcPr>
          <w:p w14:paraId="0F3AE443" w14:textId="77777777" w:rsidR="0097671A" w:rsidRPr="00ED172B" w:rsidRDefault="0097671A" w:rsidP="00186420">
            <w:pPr>
              <w:jc w:val="center"/>
              <w:rPr>
                <w:rFonts w:cs="Arial"/>
                <w:color w:val="000000" w:themeColor="text1"/>
                <w:szCs w:val="16"/>
              </w:rPr>
            </w:pPr>
          </w:p>
        </w:tc>
      </w:tr>
    </w:tbl>
    <w:p w14:paraId="600D7993" w14:textId="77777777" w:rsidR="004559B9" w:rsidRDefault="004559B9" w:rsidP="00B83404">
      <w:pPr>
        <w:rPr>
          <w:rFonts w:cs="Arial"/>
          <w:color w:val="000000" w:themeColor="text1"/>
          <w:szCs w:val="16"/>
        </w:rPr>
      </w:pPr>
    </w:p>
    <w:p w14:paraId="7FFDF782" w14:textId="77777777" w:rsidR="0097671A" w:rsidRPr="00ED172B" w:rsidRDefault="0097671A" w:rsidP="00B83404">
      <w:pPr>
        <w:rPr>
          <w:color w:val="000000" w:themeColor="text1"/>
        </w:rPr>
      </w:pPr>
      <w:r w:rsidRPr="00ED172B">
        <w:rPr>
          <w:b/>
          <w:color w:val="000000" w:themeColor="text1"/>
        </w:rPr>
        <w:t>Targets</w:t>
      </w:r>
    </w:p>
    <w:tbl>
      <w:tblPr>
        <w:tblW w:w="2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9TARGETS"/>
      </w:tblPr>
      <w:tblGrid>
        <w:gridCol w:w="866"/>
        <w:gridCol w:w="2476"/>
        <w:gridCol w:w="2653"/>
      </w:tblGrid>
      <w:tr w:rsidR="00CF59E2" w:rsidRPr="00ED172B" w14:paraId="520584EE" w14:textId="77777777" w:rsidTr="00811738">
        <w:trPr>
          <w:trHeight w:val="306"/>
        </w:trPr>
        <w:tc>
          <w:tcPr>
            <w:tcW w:w="722" w:type="pct"/>
            <w:tcBorders>
              <w:bottom w:val="single" w:sz="4" w:space="0" w:color="auto"/>
            </w:tcBorders>
            <w:vAlign w:val="center"/>
          </w:tcPr>
          <w:p w14:paraId="4D0D20C6" w14:textId="77777777" w:rsidR="00CF59E2" w:rsidRPr="00ED172B" w:rsidRDefault="00CF59E2" w:rsidP="00C375EA">
            <w:pPr>
              <w:jc w:val="center"/>
              <w:rPr>
                <w:b/>
                <w:color w:val="000000" w:themeColor="text1"/>
              </w:rPr>
            </w:pPr>
            <w:r w:rsidRPr="00ED172B">
              <w:rPr>
                <w:b/>
                <w:color w:val="000000" w:themeColor="text1"/>
              </w:rPr>
              <w:t>FFY</w:t>
            </w:r>
          </w:p>
        </w:tc>
        <w:tc>
          <w:tcPr>
            <w:tcW w:w="2065" w:type="pct"/>
            <w:vAlign w:val="center"/>
          </w:tcPr>
          <w:p w14:paraId="0BAF3129" w14:textId="77777777" w:rsidR="00CF59E2" w:rsidRPr="00ED172B" w:rsidRDefault="00CF59E2" w:rsidP="00C375EA">
            <w:pPr>
              <w:jc w:val="center"/>
              <w:rPr>
                <w:b/>
                <w:color w:val="000000" w:themeColor="text1"/>
              </w:rPr>
            </w:pPr>
            <w:r w:rsidRPr="00ED172B">
              <w:rPr>
                <w:b/>
                <w:color w:val="000000" w:themeColor="text1"/>
              </w:rPr>
              <w:t>2024</w:t>
            </w:r>
          </w:p>
        </w:tc>
        <w:tc>
          <w:tcPr>
            <w:tcW w:w="2213" w:type="pct"/>
          </w:tcPr>
          <w:p w14:paraId="5AFDB494" w14:textId="77777777" w:rsidR="00CF59E2" w:rsidRPr="00ED172B" w:rsidRDefault="00CF59E2" w:rsidP="00C375EA">
            <w:pPr>
              <w:jc w:val="center"/>
              <w:rPr>
                <w:b/>
                <w:color w:val="000000" w:themeColor="text1"/>
              </w:rPr>
            </w:pPr>
            <w:r>
              <w:rPr>
                <w:rFonts w:cs="Arial"/>
                <w:b/>
                <w:color w:val="000000" w:themeColor="text1"/>
                <w:szCs w:val="16"/>
              </w:rPr>
              <w:t>2025</w:t>
            </w:r>
          </w:p>
        </w:tc>
      </w:tr>
      <w:tr w:rsidR="00CF59E2" w:rsidRPr="00ED172B" w14:paraId="4E48DFF6" w14:textId="77777777" w:rsidTr="00811738">
        <w:trPr>
          <w:trHeight w:val="312"/>
        </w:trPr>
        <w:tc>
          <w:tcPr>
            <w:tcW w:w="722" w:type="pct"/>
          </w:tcPr>
          <w:p w14:paraId="38C97F45"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Target&gt;=</w:t>
            </w:r>
          </w:p>
        </w:tc>
        <w:tc>
          <w:tcPr>
            <w:tcW w:w="2065" w:type="pct"/>
            <w:vAlign w:val="center"/>
          </w:tcPr>
          <w:p w14:paraId="2524479F" w14:textId="77777777" w:rsidR="00CF59E2" w:rsidRPr="00ED172B" w:rsidRDefault="00CF59E2" w:rsidP="00C375EA">
            <w:pPr>
              <w:jc w:val="center"/>
              <w:rPr>
                <w:color w:val="000000" w:themeColor="text1"/>
              </w:rPr>
            </w:pPr>
            <w:r w:rsidRPr="00ED172B">
              <w:rPr>
                <w:color w:val="000000" w:themeColor="text1"/>
              </w:rPr>
              <w:t>0.00%</w:t>
            </w:r>
          </w:p>
        </w:tc>
        <w:tc>
          <w:tcPr>
            <w:tcW w:w="2213" w:type="pct"/>
          </w:tcPr>
          <w:p w14:paraId="7BDC5229" w14:textId="77777777" w:rsidR="00CF59E2" w:rsidRPr="00ED172B" w:rsidRDefault="00CF59E2" w:rsidP="00C375EA">
            <w:pPr>
              <w:jc w:val="center"/>
              <w:rPr>
                <w:color w:val="000000" w:themeColor="text1"/>
              </w:rPr>
            </w:pPr>
          </w:p>
        </w:tc>
      </w:tr>
    </w:tbl>
    <w:p w14:paraId="5CC4BDF4" w14:textId="77777777" w:rsidR="008A4FF2" w:rsidRPr="00ED172B" w:rsidRDefault="008A4FF2" w:rsidP="00B83404">
      <w:pPr>
        <w:rPr>
          <w:color w:val="000000" w:themeColor="text1"/>
        </w:rPr>
      </w:pPr>
    </w:p>
    <w:p w14:paraId="02B80E77" w14:textId="77777777" w:rsidR="0097671A" w:rsidRPr="00ED172B" w:rsidRDefault="00F22D09" w:rsidP="00B83404">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9FFYAPRDATA"/>
      </w:tblPr>
      <w:tblGrid>
        <w:gridCol w:w="3144"/>
        <w:gridCol w:w="1802"/>
        <w:gridCol w:w="1439"/>
        <w:gridCol w:w="1349"/>
        <w:gridCol w:w="1172"/>
        <w:gridCol w:w="902"/>
        <w:gridCol w:w="982"/>
      </w:tblGrid>
      <w:tr w:rsidR="00ED172B" w:rsidRPr="00ED172B" w14:paraId="1153E49B" w14:textId="77777777" w:rsidTr="00986B99">
        <w:trPr>
          <w:trHeight w:val="354"/>
          <w:tblHeader/>
        </w:trPr>
        <w:tc>
          <w:tcPr>
            <w:tcW w:w="1457" w:type="pct"/>
            <w:vAlign w:val="bottom"/>
          </w:tcPr>
          <w:p w14:paraId="6A0F9005"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3.1(a) Number resolutions sessions resolved through settlement agreements</w:t>
            </w:r>
          </w:p>
        </w:tc>
        <w:tc>
          <w:tcPr>
            <w:tcW w:w="835" w:type="pct"/>
            <w:vAlign w:val="bottom"/>
          </w:tcPr>
          <w:p w14:paraId="7214F0C6"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3.1 Number of resolutions sessions</w:t>
            </w:r>
          </w:p>
        </w:tc>
        <w:tc>
          <w:tcPr>
            <w:tcW w:w="667" w:type="pct"/>
            <w:vAlign w:val="bottom"/>
          </w:tcPr>
          <w:p w14:paraId="2865CE6C" w14:textId="77777777" w:rsidR="0097671A" w:rsidRPr="00ED172B" w:rsidRDefault="00CD74B5" w:rsidP="00CD79C5">
            <w:pPr>
              <w:jc w:val="center"/>
              <w:rPr>
                <w:rFonts w:cs="Arial"/>
                <w:b/>
                <w:color w:val="000000" w:themeColor="text1"/>
                <w:szCs w:val="16"/>
              </w:rPr>
            </w:pPr>
            <w:r>
              <w:rPr>
                <w:rFonts w:cs="Arial"/>
                <w:b/>
                <w:color w:val="000000" w:themeColor="text1"/>
                <w:szCs w:val="16"/>
              </w:rPr>
              <w:t>FFY 2023 Data</w:t>
            </w:r>
          </w:p>
        </w:tc>
        <w:tc>
          <w:tcPr>
            <w:tcW w:w="625" w:type="pct"/>
            <w:vAlign w:val="bottom"/>
          </w:tcPr>
          <w:p w14:paraId="64ACCDB0" w14:textId="77777777" w:rsidR="0097671A" w:rsidRPr="00ED172B" w:rsidRDefault="00F22D09" w:rsidP="00CD79C5">
            <w:pPr>
              <w:jc w:val="center"/>
              <w:rPr>
                <w:rFonts w:cs="Arial"/>
                <w:b/>
                <w:color w:val="000000" w:themeColor="text1"/>
                <w:szCs w:val="16"/>
              </w:rPr>
            </w:pPr>
            <w:r>
              <w:rPr>
                <w:rFonts w:cs="Arial"/>
                <w:b/>
                <w:color w:val="000000" w:themeColor="text1"/>
                <w:szCs w:val="16"/>
              </w:rPr>
              <w:t>FFY 2024 Target</w:t>
            </w:r>
          </w:p>
        </w:tc>
        <w:tc>
          <w:tcPr>
            <w:tcW w:w="543" w:type="pct"/>
            <w:vAlign w:val="bottom"/>
          </w:tcPr>
          <w:p w14:paraId="545BCB94" w14:textId="77777777" w:rsidR="0097671A" w:rsidRPr="00ED172B" w:rsidRDefault="00F22D09" w:rsidP="00CD79C5">
            <w:pPr>
              <w:jc w:val="center"/>
              <w:rPr>
                <w:rFonts w:cs="Arial"/>
                <w:b/>
                <w:color w:val="000000" w:themeColor="text1"/>
                <w:szCs w:val="16"/>
              </w:rPr>
            </w:pPr>
            <w:r>
              <w:rPr>
                <w:rFonts w:cs="Arial"/>
                <w:b/>
                <w:color w:val="000000" w:themeColor="text1"/>
                <w:szCs w:val="16"/>
              </w:rPr>
              <w:t>FFY 2024 Data</w:t>
            </w:r>
          </w:p>
        </w:tc>
        <w:tc>
          <w:tcPr>
            <w:tcW w:w="418" w:type="pct"/>
            <w:vAlign w:val="bottom"/>
          </w:tcPr>
          <w:p w14:paraId="609DC328"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Status</w:t>
            </w:r>
          </w:p>
        </w:tc>
        <w:tc>
          <w:tcPr>
            <w:tcW w:w="455" w:type="pct"/>
            <w:vAlign w:val="bottom"/>
          </w:tcPr>
          <w:p w14:paraId="1F54BFEF" w14:textId="77777777" w:rsidR="0097671A" w:rsidRPr="00ED172B" w:rsidRDefault="0097671A"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2D1DDF90" w14:textId="77777777" w:rsidTr="00986B99">
        <w:trPr>
          <w:trHeight w:val="361"/>
        </w:trPr>
        <w:tc>
          <w:tcPr>
            <w:tcW w:w="1457" w:type="pct"/>
            <w:vAlign w:val="center"/>
          </w:tcPr>
          <w:p w14:paraId="5A75CB4D" w14:textId="77777777"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835" w:type="pct"/>
            <w:vAlign w:val="center"/>
          </w:tcPr>
          <w:p w14:paraId="74051D44" w14:textId="77777777" w:rsidR="0097671A" w:rsidRPr="00ED172B" w:rsidRDefault="00860830" w:rsidP="00B83404">
            <w:pPr>
              <w:jc w:val="center"/>
              <w:rPr>
                <w:rFonts w:cs="Arial"/>
                <w:color w:val="000000" w:themeColor="text1"/>
                <w:szCs w:val="16"/>
              </w:rPr>
            </w:pPr>
            <w:r w:rsidRPr="00ED172B">
              <w:rPr>
                <w:rFonts w:cs="Arial"/>
                <w:color w:val="000000" w:themeColor="text1"/>
                <w:szCs w:val="16"/>
              </w:rPr>
              <w:t>0</w:t>
            </w:r>
          </w:p>
        </w:tc>
        <w:tc>
          <w:tcPr>
            <w:tcW w:w="667" w:type="pct"/>
            <w:vAlign w:val="center"/>
          </w:tcPr>
          <w:p w14:paraId="0340A0CF" w14:textId="77777777" w:rsidR="0097671A" w:rsidRPr="00ED172B" w:rsidRDefault="0097671A" w:rsidP="00B83404">
            <w:pPr>
              <w:jc w:val="center"/>
              <w:rPr>
                <w:rFonts w:cs="Arial"/>
                <w:color w:val="000000" w:themeColor="text1"/>
                <w:szCs w:val="16"/>
              </w:rPr>
            </w:pPr>
          </w:p>
        </w:tc>
        <w:tc>
          <w:tcPr>
            <w:tcW w:w="625" w:type="pct"/>
            <w:vAlign w:val="center"/>
          </w:tcPr>
          <w:p w14:paraId="6165D647" w14:textId="77777777" w:rsidR="0097671A" w:rsidRPr="00ED172B" w:rsidRDefault="00320806" w:rsidP="00320806">
            <w:pPr>
              <w:jc w:val="center"/>
              <w:rPr>
                <w:color w:val="000000" w:themeColor="text1"/>
              </w:rPr>
            </w:pPr>
            <w:r w:rsidRPr="00ED172B">
              <w:rPr>
                <w:color w:val="000000" w:themeColor="text1"/>
              </w:rPr>
              <w:t>0.00%</w:t>
            </w:r>
          </w:p>
        </w:tc>
        <w:tc>
          <w:tcPr>
            <w:tcW w:w="543" w:type="pct"/>
            <w:vAlign w:val="center"/>
          </w:tcPr>
          <w:p w14:paraId="1ADA3AAA" w14:textId="77777777" w:rsidR="0097671A" w:rsidRPr="00ED172B" w:rsidRDefault="0097671A" w:rsidP="00B83404">
            <w:pPr>
              <w:jc w:val="center"/>
              <w:rPr>
                <w:rFonts w:cs="Arial"/>
                <w:color w:val="000000" w:themeColor="text1"/>
                <w:szCs w:val="16"/>
              </w:rPr>
            </w:pPr>
          </w:p>
        </w:tc>
        <w:tc>
          <w:tcPr>
            <w:tcW w:w="418" w:type="pct"/>
            <w:vAlign w:val="center"/>
          </w:tcPr>
          <w:p w14:paraId="41094035" w14:textId="77777777" w:rsidR="0097671A" w:rsidRPr="00ED172B" w:rsidRDefault="00320806" w:rsidP="00320806">
            <w:pPr>
              <w:jc w:val="center"/>
              <w:rPr>
                <w:color w:val="000000" w:themeColor="text1"/>
              </w:rPr>
            </w:pPr>
            <w:r w:rsidRPr="00ED172B">
              <w:rPr>
                <w:color w:val="000000" w:themeColor="text1"/>
              </w:rPr>
              <w:t>N/A</w:t>
            </w:r>
          </w:p>
        </w:tc>
        <w:tc>
          <w:tcPr>
            <w:tcW w:w="455" w:type="pct"/>
            <w:vAlign w:val="center"/>
          </w:tcPr>
          <w:p w14:paraId="1AF110CA" w14:textId="77777777" w:rsidR="0097671A" w:rsidRPr="00ED172B" w:rsidRDefault="00320806" w:rsidP="00320806">
            <w:pPr>
              <w:jc w:val="center"/>
              <w:rPr>
                <w:color w:val="000000" w:themeColor="text1"/>
              </w:rPr>
            </w:pPr>
            <w:r w:rsidRPr="00ED172B">
              <w:rPr>
                <w:color w:val="000000" w:themeColor="text1"/>
              </w:rPr>
              <w:t>N/A</w:t>
            </w:r>
          </w:p>
        </w:tc>
      </w:tr>
    </w:tbl>
    <w:p w14:paraId="6E166A68" w14:textId="77777777" w:rsidR="0097671A" w:rsidRPr="00ED172B" w:rsidRDefault="0097671A" w:rsidP="0097671A">
      <w:pPr>
        <w:rPr>
          <w:rFonts w:cs="Arial"/>
          <w:b/>
          <w:color w:val="000000" w:themeColor="text1"/>
          <w:szCs w:val="16"/>
        </w:rPr>
      </w:pPr>
      <w:r w:rsidRPr="00ED172B">
        <w:rPr>
          <w:rFonts w:cs="Arial"/>
          <w:b/>
          <w:color w:val="000000" w:themeColor="text1"/>
          <w:szCs w:val="16"/>
        </w:rPr>
        <w:t>Provide additional information about this indicator (optional)</w:t>
      </w:r>
    </w:p>
    <w:p w14:paraId="6CFD027A" w14:textId="77777777" w:rsidR="0097671A" w:rsidRPr="00ED172B" w:rsidRDefault="00860830" w:rsidP="0097671A">
      <w:pPr>
        <w:rPr>
          <w:rFonts w:cs="Arial"/>
          <w:color w:val="000000" w:themeColor="text1"/>
          <w:szCs w:val="16"/>
        </w:rPr>
      </w:pPr>
      <w:r w:rsidRPr="00ED172B">
        <w:rPr>
          <w:rFonts w:cs="Arial"/>
          <w:color w:val="000000" w:themeColor="text1"/>
          <w:szCs w:val="16"/>
        </w:rPr>
        <w:lastRenderedPageBreak/>
        <w:t xml:space="preserve">There </w:t>
      </w:r>
      <w:proofErr w:type="gramStart"/>
      <w:r w:rsidRPr="00ED172B">
        <w:rPr>
          <w:rFonts w:cs="Arial"/>
          <w:color w:val="000000" w:themeColor="text1"/>
          <w:szCs w:val="16"/>
        </w:rPr>
        <w:t>were</w:t>
      </w:r>
      <w:proofErr w:type="gramEnd"/>
      <w:r w:rsidRPr="00ED172B">
        <w:rPr>
          <w:rFonts w:cs="Arial"/>
          <w:color w:val="000000" w:themeColor="text1"/>
          <w:szCs w:val="16"/>
        </w:rPr>
        <w:t xml:space="preserve"> no resolution sessions held during FFY 2024-25. States are not required to establish a baseline or targets if the number of resolution sessions is less than 10. </w:t>
      </w:r>
    </w:p>
    <w:p w14:paraId="4154F556" w14:textId="77777777" w:rsidR="009D5CE3" w:rsidRPr="00ED172B" w:rsidRDefault="009D5CE3" w:rsidP="0097671A">
      <w:pPr>
        <w:rPr>
          <w:rFonts w:cs="Arial"/>
          <w:color w:val="000000" w:themeColor="text1"/>
          <w:szCs w:val="16"/>
        </w:rPr>
      </w:pPr>
    </w:p>
    <w:p w14:paraId="7354B72F" w14:textId="77777777" w:rsidR="00DC0682" w:rsidRPr="00A40EE1" w:rsidRDefault="000D0117" w:rsidP="007B0787">
      <w:pPr>
        <w:pStyle w:val="Heading2"/>
      </w:pPr>
      <w:bookmarkStart w:id="54" w:name="_Toc381786825"/>
      <w:bookmarkStart w:id="55" w:name="_Toc382731915"/>
      <w:bookmarkStart w:id="56" w:name="_Toc392159343"/>
      <w:bookmarkEnd w:id="52"/>
      <w:bookmarkEnd w:id="53"/>
      <w:r w:rsidRPr="00A40EE1">
        <w:t xml:space="preserve">9 - </w:t>
      </w:r>
      <w:r w:rsidR="00DC0682" w:rsidRPr="00A40EE1">
        <w:t>Prior FFY Required Actions</w:t>
      </w:r>
    </w:p>
    <w:p w14:paraId="14048934" w14:textId="77777777" w:rsidR="00720D77" w:rsidRPr="00ED172B" w:rsidRDefault="00320806" w:rsidP="00DC0682">
      <w:pPr>
        <w:rPr>
          <w:rFonts w:cs="Arial"/>
          <w:color w:val="000000" w:themeColor="text1"/>
          <w:szCs w:val="16"/>
        </w:rPr>
      </w:pPr>
      <w:r w:rsidRPr="00ED172B">
        <w:rPr>
          <w:color w:val="000000" w:themeColor="text1"/>
        </w:rPr>
        <w:t>None</w:t>
      </w:r>
    </w:p>
    <w:p w14:paraId="0D103E93" w14:textId="77777777" w:rsidR="00DC0682" w:rsidRPr="00A40EE1" w:rsidRDefault="000D0117" w:rsidP="007B0787">
      <w:pPr>
        <w:pStyle w:val="Heading2"/>
      </w:pPr>
      <w:r w:rsidRPr="00A40EE1">
        <w:t xml:space="preserve">9 - </w:t>
      </w:r>
      <w:r w:rsidR="00DC0682" w:rsidRPr="00A40EE1">
        <w:t>OSEP Response</w:t>
      </w:r>
    </w:p>
    <w:p w14:paraId="433D4719" w14:textId="77777777" w:rsidR="00DC0682" w:rsidRPr="00ED172B" w:rsidRDefault="00320806" w:rsidP="00320806">
      <w:pPr>
        <w:rPr>
          <w:color w:val="000000" w:themeColor="text1"/>
        </w:rPr>
      </w:pPr>
      <w:r w:rsidRPr="00ED172B">
        <w:rPr>
          <w:color w:val="000000" w:themeColor="text1"/>
        </w:rPr>
        <w:t>The State reported fewer than ten resolution sessions held in FFY 2024. The State is not required to provide targets until any fiscal year in which ten or more resolution sessions were held.</w:t>
      </w:r>
    </w:p>
    <w:p w14:paraId="20DD5EAE" w14:textId="77777777" w:rsidR="00DC0682" w:rsidRPr="00A40EE1" w:rsidRDefault="000D0117" w:rsidP="007B0787">
      <w:pPr>
        <w:pStyle w:val="Heading2"/>
      </w:pPr>
      <w:r w:rsidRPr="00A40EE1">
        <w:t xml:space="preserve">9 - </w:t>
      </w:r>
      <w:r w:rsidR="00DC0682" w:rsidRPr="00A40EE1">
        <w:t>Required Actions</w:t>
      </w:r>
    </w:p>
    <w:p w14:paraId="6785EF75" w14:textId="77777777" w:rsidR="00DC0682" w:rsidRPr="00ED172B" w:rsidRDefault="00DC0682" w:rsidP="00320806">
      <w:pPr>
        <w:rPr>
          <w:color w:val="000000" w:themeColor="text1"/>
        </w:rPr>
      </w:pPr>
    </w:p>
    <w:p w14:paraId="184048D4" w14:textId="77777777" w:rsidR="00B87A9B" w:rsidRDefault="00B87A9B">
      <w:pPr>
        <w:spacing w:before="0" w:after="200" w:line="276" w:lineRule="auto"/>
        <w:rPr>
          <w:rFonts w:eastAsiaTheme="majorEastAsia" w:cstheme="majorBidi"/>
          <w:b/>
          <w:bCs/>
          <w:color w:val="000000" w:themeColor="text1"/>
          <w:sz w:val="22"/>
          <w:szCs w:val="28"/>
        </w:rPr>
      </w:pPr>
      <w:bookmarkStart w:id="57" w:name="_Hlk109646703"/>
      <w:r>
        <w:rPr>
          <w:color w:val="000000" w:themeColor="text1"/>
        </w:rPr>
        <w:br w:type="page"/>
      </w:r>
    </w:p>
    <w:p w14:paraId="7536A103" w14:textId="77777777" w:rsidR="007F0CEC" w:rsidRPr="00ED172B" w:rsidRDefault="007F0CEC" w:rsidP="0077063D">
      <w:pPr>
        <w:pStyle w:val="Heading1"/>
        <w:rPr>
          <w:color w:val="000000" w:themeColor="text1"/>
        </w:rPr>
      </w:pPr>
      <w:r w:rsidRPr="00ED172B">
        <w:rPr>
          <w:color w:val="000000" w:themeColor="text1"/>
        </w:rPr>
        <w:lastRenderedPageBreak/>
        <w:t>Indicator 10: Mediation</w:t>
      </w:r>
      <w:bookmarkEnd w:id="54"/>
      <w:bookmarkEnd w:id="55"/>
      <w:bookmarkEnd w:id="56"/>
    </w:p>
    <w:p w14:paraId="4BCBF28A" w14:textId="77777777" w:rsidR="00F51610" w:rsidRPr="00ED172B" w:rsidRDefault="00F51610" w:rsidP="00186420">
      <w:pPr>
        <w:rPr>
          <w:color w:val="000000" w:themeColor="text1"/>
          <w:szCs w:val="20"/>
        </w:rPr>
      </w:pPr>
      <w:bookmarkStart w:id="58" w:name="_Toc382731916"/>
      <w:bookmarkStart w:id="59" w:name="_Toc392159344"/>
      <w:r w:rsidRPr="00ED172B">
        <w:rPr>
          <w:b/>
          <w:color w:val="000000" w:themeColor="text1"/>
          <w:sz w:val="20"/>
          <w:szCs w:val="20"/>
        </w:rPr>
        <w:t>Instructions and Measurement</w:t>
      </w:r>
    </w:p>
    <w:p w14:paraId="6A247B1C"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1493DF5B"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07EC550B" w14:textId="77777777" w:rsidR="00F90BF8" w:rsidRPr="00ED172B" w:rsidRDefault="00F90BF8">
      <w:pPr>
        <w:rPr>
          <w:b/>
          <w:color w:val="000000" w:themeColor="text1"/>
        </w:rPr>
      </w:pPr>
      <w:r w:rsidRPr="00ED172B">
        <w:rPr>
          <w:b/>
          <w:color w:val="000000" w:themeColor="text1"/>
        </w:rPr>
        <w:t>Data Source</w:t>
      </w:r>
    </w:p>
    <w:p w14:paraId="10873634" w14:textId="77777777" w:rsidR="006F4546" w:rsidRPr="00F446DC" w:rsidRDefault="006F4546" w:rsidP="006F4546">
      <w:pPr>
        <w:rPr>
          <w:szCs w:val="16"/>
        </w:rPr>
      </w:pPr>
      <w:r w:rsidRPr="00ED3380">
        <w:rPr>
          <w:szCs w:val="16"/>
        </w:rPr>
        <w:t xml:space="preserve">Same data as used for reporting to the Department under section 618 of the IDEA, using the definitions in </w:t>
      </w:r>
      <w:proofErr w:type="spellStart"/>
      <w:r w:rsidRPr="00ED3380">
        <w:rPr>
          <w:szCs w:val="16"/>
        </w:rPr>
        <w:t>EDFacts</w:t>
      </w:r>
      <w:proofErr w:type="spellEnd"/>
      <w:r w:rsidRPr="00ED3380">
        <w:rPr>
          <w:szCs w:val="16"/>
        </w:rPr>
        <w:t xml:space="preserve"> file specification FS907</w:t>
      </w:r>
      <w:r w:rsidRPr="0084279D">
        <w:rPr>
          <w:rFonts w:cs="Arial"/>
          <w:szCs w:val="16"/>
        </w:rPr>
        <w:t>.</w:t>
      </w:r>
    </w:p>
    <w:p w14:paraId="2E372D00" w14:textId="77777777" w:rsidR="00F90BF8" w:rsidRPr="00ED172B" w:rsidRDefault="00F90BF8">
      <w:pPr>
        <w:rPr>
          <w:b/>
          <w:color w:val="000000" w:themeColor="text1"/>
        </w:rPr>
      </w:pPr>
      <w:r w:rsidRPr="00ED172B">
        <w:rPr>
          <w:b/>
          <w:color w:val="000000" w:themeColor="text1"/>
        </w:rPr>
        <w:t>Measurement</w:t>
      </w:r>
    </w:p>
    <w:p w14:paraId="15C6371D" w14:textId="77777777" w:rsidR="00F90BF8" w:rsidRPr="00ED172B" w:rsidRDefault="00F90BF8" w:rsidP="00715B7C">
      <w:pPr>
        <w:rPr>
          <w:color w:val="000000" w:themeColor="text1"/>
          <w:szCs w:val="16"/>
        </w:rPr>
      </w:pPr>
      <w:r w:rsidRPr="00ED172B">
        <w:rPr>
          <w:color w:val="000000" w:themeColor="text1"/>
          <w:szCs w:val="16"/>
        </w:rPr>
        <w:t>Percent = [(2.1(a)(</w:t>
      </w:r>
      <w:proofErr w:type="spellStart"/>
      <w:r w:rsidRPr="00ED172B">
        <w:rPr>
          <w:color w:val="000000" w:themeColor="text1"/>
          <w:szCs w:val="16"/>
        </w:rPr>
        <w:t>i</w:t>
      </w:r>
      <w:proofErr w:type="spellEnd"/>
      <w:r w:rsidRPr="00ED172B">
        <w:rPr>
          <w:color w:val="000000" w:themeColor="text1"/>
          <w:szCs w:val="16"/>
        </w:rPr>
        <w:t>) + 2.1(b)(</w:t>
      </w:r>
      <w:proofErr w:type="spellStart"/>
      <w:r w:rsidRPr="00ED172B">
        <w:rPr>
          <w:color w:val="000000" w:themeColor="text1"/>
          <w:szCs w:val="16"/>
        </w:rPr>
        <w:t>i</w:t>
      </w:r>
      <w:proofErr w:type="spellEnd"/>
      <w:r w:rsidRPr="00ED172B">
        <w:rPr>
          <w:color w:val="000000" w:themeColor="text1"/>
          <w:szCs w:val="16"/>
        </w:rPr>
        <w:t>)) divided by 2.1] times 100.</w:t>
      </w:r>
    </w:p>
    <w:p w14:paraId="703D0C67" w14:textId="77777777" w:rsidR="00F90BF8" w:rsidRPr="00ED172B" w:rsidRDefault="00F90BF8">
      <w:pPr>
        <w:rPr>
          <w:b/>
          <w:color w:val="000000" w:themeColor="text1"/>
        </w:rPr>
      </w:pPr>
      <w:r w:rsidRPr="00ED172B">
        <w:rPr>
          <w:b/>
          <w:color w:val="000000" w:themeColor="text1"/>
        </w:rPr>
        <w:t>Instructions</w:t>
      </w:r>
    </w:p>
    <w:p w14:paraId="7111C673"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51F70D82"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0DCE0514" w14:textId="7777777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mediations is less than 10. In a reporting period when the number of mediations reaches 10 or greater, the State must develop baseline and report them in the corresponding SPP/APR.</w:t>
      </w:r>
    </w:p>
    <w:p w14:paraId="33A5835E" w14:textId="77777777" w:rsidR="00F90BF8" w:rsidRPr="00ED172B" w:rsidRDefault="00CD071F" w:rsidP="00715B7C">
      <w:pPr>
        <w:rPr>
          <w:color w:val="000000" w:themeColor="text1"/>
          <w:szCs w:val="16"/>
        </w:rPr>
      </w:pPr>
      <w:r w:rsidRPr="004E39D8">
        <w:rPr>
          <w:szCs w:val="16"/>
        </w:rPr>
        <w:t xml:space="preserve">The consensus among mediation practitioners is that 75-85% is a reasonable rate of </w:t>
      </w:r>
      <w:proofErr w:type="gramStart"/>
      <w:r w:rsidRPr="004E39D8">
        <w:rPr>
          <w:szCs w:val="16"/>
        </w:rPr>
        <w:t>mediations</w:t>
      </w:r>
      <w:proofErr w:type="gramEnd"/>
      <w:r w:rsidRPr="004E39D8">
        <w:rPr>
          <w:szCs w:val="16"/>
        </w:rPr>
        <w:t xml:space="preserve"> that </w:t>
      </w:r>
      <w:proofErr w:type="gramStart"/>
      <w:r w:rsidRPr="004E39D8">
        <w:rPr>
          <w:szCs w:val="16"/>
        </w:rPr>
        <w:t>result</w:t>
      </w:r>
      <w:proofErr w:type="gramEnd"/>
      <w:r w:rsidRPr="004E39D8">
        <w:rPr>
          <w:szCs w:val="16"/>
        </w:rPr>
        <w:t xml:space="preserve">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FAD8257"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E6E3199"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7"/>
    <w:p w14:paraId="1471AD4D" w14:textId="77777777" w:rsidR="00715B7C" w:rsidRPr="00A40EE1" w:rsidRDefault="000D0117" w:rsidP="007B0787">
      <w:pPr>
        <w:pStyle w:val="Heading2"/>
      </w:pPr>
      <w:r w:rsidRPr="00A40EE1">
        <w:t xml:space="preserve">10 - </w:t>
      </w:r>
      <w:r w:rsidR="00715B7C" w:rsidRPr="00A40EE1">
        <w:t>Indicator Data</w:t>
      </w:r>
    </w:p>
    <w:p w14:paraId="68121A0B" w14:textId="77777777" w:rsidR="00631022" w:rsidRPr="00ED172B" w:rsidRDefault="00631022" w:rsidP="00631022">
      <w:pPr>
        <w:rPr>
          <w:rFonts w:cs="Arial"/>
          <w:b/>
          <w:color w:val="000000" w:themeColor="text1"/>
          <w:szCs w:val="16"/>
        </w:rPr>
      </w:pPr>
      <w:r w:rsidRPr="00ED172B">
        <w:rPr>
          <w:rFonts w:cs="Arial"/>
          <w:b/>
          <w:color w:val="000000" w:themeColor="text1"/>
          <w:szCs w:val="16"/>
        </w:rPr>
        <w:t xml:space="preserve">Select </w:t>
      </w:r>
      <w:proofErr w:type="gramStart"/>
      <w:r w:rsidRPr="00ED172B">
        <w:rPr>
          <w:rFonts w:cs="Arial"/>
          <w:b/>
          <w:color w:val="000000" w:themeColor="text1"/>
          <w:szCs w:val="16"/>
        </w:rPr>
        <w:t>yes</w:t>
      </w:r>
      <w:proofErr w:type="gramEnd"/>
      <w:r w:rsidRPr="00ED172B">
        <w:rPr>
          <w:rFonts w:cs="Arial"/>
          <w:b/>
          <w:color w:val="000000" w:themeColor="text1"/>
          <w:szCs w:val="16"/>
        </w:rPr>
        <w:t xml:space="preserve"> to use target ranges</w:t>
      </w:r>
    </w:p>
    <w:p w14:paraId="197E053F" w14:textId="77777777" w:rsidR="00631022" w:rsidRPr="00ED172B" w:rsidRDefault="00631022" w:rsidP="00186420">
      <w:pPr>
        <w:rPr>
          <w:color w:val="000000" w:themeColor="text1"/>
        </w:rPr>
      </w:pPr>
      <w:r w:rsidRPr="00ED172B">
        <w:rPr>
          <w:rFonts w:cs="Arial"/>
          <w:color w:val="000000" w:themeColor="text1"/>
          <w:szCs w:val="16"/>
        </w:rPr>
        <w:t>Target Range not used</w:t>
      </w:r>
    </w:p>
    <w:p w14:paraId="129BEEEC" w14:textId="77777777" w:rsidR="00DC16A4" w:rsidRPr="00ED172B" w:rsidRDefault="00631022">
      <w:pPr>
        <w:rPr>
          <w:b/>
          <w:color w:val="000000" w:themeColor="text1"/>
        </w:rPr>
      </w:pPr>
      <w:r w:rsidRPr="00ED172B">
        <w:rPr>
          <w:b/>
          <w:color w:val="000000" w:themeColor="text1"/>
        </w:rPr>
        <w:t xml:space="preserve">Select yes if the data reported in this indicator </w:t>
      </w:r>
      <w:proofErr w:type="gramStart"/>
      <w:r w:rsidRPr="00ED172B">
        <w:rPr>
          <w:b/>
          <w:color w:val="000000" w:themeColor="text1"/>
        </w:rPr>
        <w:t>are</w:t>
      </w:r>
      <w:proofErr w:type="gramEnd"/>
      <w:r w:rsidRPr="00ED172B">
        <w:rPr>
          <w:b/>
          <w:color w:val="000000" w:themeColor="text1"/>
        </w:rPr>
        <w:t xml:space="preserve"> not the same as the State’s data reported under Section 618 of the IDEA. </w:t>
      </w:r>
    </w:p>
    <w:p w14:paraId="03298D95" w14:textId="77777777" w:rsidR="00631022" w:rsidRDefault="00631022">
      <w:pPr>
        <w:rPr>
          <w:color w:val="000000" w:themeColor="text1"/>
        </w:rPr>
      </w:pPr>
      <w:r w:rsidRPr="00ED172B">
        <w:rPr>
          <w:color w:val="000000" w:themeColor="text1"/>
        </w:rPr>
        <w:t>NO</w:t>
      </w:r>
    </w:p>
    <w:p w14:paraId="6C29494B" w14:textId="77777777"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557F6819" w14:textId="77777777" w:rsidTr="00986B99">
        <w:trPr>
          <w:trHeight w:val="296"/>
          <w:tblHeader/>
        </w:trPr>
        <w:tc>
          <w:tcPr>
            <w:tcW w:w="1519" w:type="pct"/>
          </w:tcPr>
          <w:p w14:paraId="06EDBCFC"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tcPr>
          <w:p w14:paraId="6977C7F7"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tcPr>
          <w:p w14:paraId="333F4651"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tcPr>
          <w:p w14:paraId="1D79675F"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1DF2B9DB" w14:textId="77777777" w:rsidTr="00986B99">
        <w:trPr>
          <w:trHeight w:val="380"/>
        </w:trPr>
        <w:tc>
          <w:tcPr>
            <w:tcW w:w="1519" w:type="pct"/>
          </w:tcPr>
          <w:p w14:paraId="13C976F4"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FS907; Data group 5030)</w:t>
            </w:r>
          </w:p>
        </w:tc>
        <w:tc>
          <w:tcPr>
            <w:tcW w:w="1565" w:type="pct"/>
          </w:tcPr>
          <w:p w14:paraId="32E52963"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1C717E07"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tcPr>
          <w:p w14:paraId="48FC9BD3" w14:textId="77777777" w:rsidR="00781A26" w:rsidRPr="00ED172B" w:rsidRDefault="00027F39" w:rsidP="00ED172B">
            <w:pPr>
              <w:jc w:val="center"/>
              <w:rPr>
                <w:color w:val="000000" w:themeColor="text1"/>
              </w:rPr>
            </w:pPr>
            <w:r w:rsidRPr="00ED172B">
              <w:rPr>
                <w:color w:val="000000" w:themeColor="text1"/>
              </w:rPr>
              <w:t>0</w:t>
            </w:r>
          </w:p>
        </w:tc>
      </w:tr>
      <w:tr w:rsidR="00ED172B" w:rsidRPr="00ED172B" w14:paraId="7E955B6B" w14:textId="77777777" w:rsidTr="00986B99">
        <w:trPr>
          <w:trHeight w:val="380"/>
        </w:trPr>
        <w:tc>
          <w:tcPr>
            <w:tcW w:w="1519" w:type="pct"/>
          </w:tcPr>
          <w:p w14:paraId="03D0D5FD"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FS907; Data group 5030)</w:t>
            </w:r>
          </w:p>
        </w:tc>
        <w:tc>
          <w:tcPr>
            <w:tcW w:w="1565" w:type="pct"/>
          </w:tcPr>
          <w:p w14:paraId="7DADECB3"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145E8C29"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tcPr>
          <w:p w14:paraId="0A33C190" w14:textId="77777777" w:rsidR="00781A26" w:rsidRPr="00ED172B" w:rsidRDefault="00027F39" w:rsidP="00ED172B">
            <w:pPr>
              <w:jc w:val="center"/>
              <w:rPr>
                <w:color w:val="000000" w:themeColor="text1"/>
              </w:rPr>
            </w:pPr>
            <w:r w:rsidRPr="00ED172B">
              <w:rPr>
                <w:color w:val="000000" w:themeColor="text1"/>
              </w:rPr>
              <w:t>0</w:t>
            </w:r>
          </w:p>
        </w:tc>
      </w:tr>
      <w:tr w:rsidR="00ED172B" w:rsidRPr="00ED172B" w14:paraId="385840FC" w14:textId="77777777" w:rsidTr="00986B99">
        <w:trPr>
          <w:trHeight w:val="380"/>
        </w:trPr>
        <w:tc>
          <w:tcPr>
            <w:tcW w:w="1519" w:type="pct"/>
          </w:tcPr>
          <w:p w14:paraId="42E11B38" w14:textId="77777777"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w:t>
            </w:r>
            <w:proofErr w:type="spellStart"/>
            <w:r w:rsidRPr="00ED172B">
              <w:rPr>
                <w:rFonts w:cs="Arial"/>
                <w:color w:val="000000" w:themeColor="text1"/>
                <w:szCs w:val="16"/>
              </w:rPr>
              <w:t>EDFacts</w:t>
            </w:r>
            <w:proofErr w:type="spellEnd"/>
            <w:r w:rsidRPr="00ED172B">
              <w:rPr>
                <w:rFonts w:cs="Arial"/>
                <w:color w:val="000000" w:themeColor="text1"/>
                <w:szCs w:val="16"/>
              </w:rPr>
              <w:t xml:space="preserve"> file spec FS907; Data group 5030)</w:t>
            </w:r>
          </w:p>
        </w:tc>
        <w:tc>
          <w:tcPr>
            <w:tcW w:w="1565" w:type="pct"/>
          </w:tcPr>
          <w:p w14:paraId="50DE1D37" w14:textId="7777777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7413BA11"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tcPr>
          <w:p w14:paraId="33D61E61" w14:textId="77777777" w:rsidR="00781A26" w:rsidRPr="00ED172B" w:rsidRDefault="00027F39" w:rsidP="00ED172B">
            <w:pPr>
              <w:jc w:val="center"/>
              <w:rPr>
                <w:color w:val="000000" w:themeColor="text1"/>
              </w:rPr>
            </w:pPr>
            <w:r w:rsidRPr="00ED172B">
              <w:rPr>
                <w:color w:val="000000" w:themeColor="text1"/>
              </w:rPr>
              <w:t>0</w:t>
            </w:r>
          </w:p>
        </w:tc>
      </w:tr>
    </w:tbl>
    <w:p w14:paraId="2CC1E3E8" w14:textId="77777777" w:rsidR="00822D9C" w:rsidRDefault="00287B52" w:rsidP="00287B52">
      <w:pPr>
        <w:pStyle w:val="Bold"/>
        <w:rPr>
          <w:color w:val="000000" w:themeColor="text1"/>
        </w:rPr>
      </w:pPr>
      <w:r w:rsidRPr="00ED172B">
        <w:rPr>
          <w:color w:val="000000" w:themeColor="text1"/>
        </w:rPr>
        <w:t>Targets: Description of Stakeholder Input</w:t>
      </w:r>
    </w:p>
    <w:p w14:paraId="25510563" w14:textId="77777777" w:rsidR="00E44DFC" w:rsidRDefault="00CF03E0" w:rsidP="00ED172B">
      <w:pPr>
        <w:rPr>
          <w:color w:val="000000" w:themeColor="text1"/>
        </w:rPr>
      </w:pPr>
      <w:r w:rsidRPr="00ED172B">
        <w:rPr>
          <w:color w:val="000000" w:themeColor="text1"/>
        </w:rPr>
        <w:t>TEIS incorporates broad stakeholder input when addressing areas of need within the system through multiple channels, including:</w:t>
      </w:r>
    </w:p>
    <w:p w14:paraId="30487318" w14:textId="77777777" w:rsidR="007876EE" w:rsidRDefault="007876EE"/>
    <w:p w14:paraId="6674282C" w14:textId="77777777" w:rsidR="007876EE" w:rsidRDefault="00000000">
      <w:r>
        <w:rPr>
          <w:color w:val="000000"/>
        </w:rPr>
        <w:t>-State Interagency Coordinating Council (SICC) membership and attending visitors.</w:t>
      </w:r>
    </w:p>
    <w:p w14:paraId="113612A1" w14:textId="77777777" w:rsidR="007876EE" w:rsidRDefault="00000000">
      <w:r>
        <w:rPr>
          <w:color w:val="000000"/>
        </w:rPr>
        <w:t>-TEIS, EIRA, and Vendor Advisory Councils.</w:t>
      </w:r>
    </w:p>
    <w:p w14:paraId="62755A84" w14:textId="77777777" w:rsidR="007876EE" w:rsidRDefault="00000000">
      <w:r>
        <w:rPr>
          <w:color w:val="000000"/>
        </w:rPr>
        <w:t>-Office Hours sessions.</w:t>
      </w:r>
    </w:p>
    <w:p w14:paraId="4B1E645A" w14:textId="77777777" w:rsidR="007876EE" w:rsidRDefault="00000000">
      <w:r>
        <w:rPr>
          <w:color w:val="000000"/>
        </w:rPr>
        <w:t>-Feedback from family surveys, advocacy groups, and local engagement efforts.</w:t>
      </w:r>
    </w:p>
    <w:p w14:paraId="67FCA7D6" w14:textId="77777777" w:rsidR="007876EE" w:rsidRDefault="007876EE"/>
    <w:p w14:paraId="62BFA018" w14:textId="77777777" w:rsidR="007876EE" w:rsidRDefault="00000000">
      <w:r>
        <w:rPr>
          <w:color w:val="000000"/>
        </w:rPr>
        <w:t>The TEIS website and department newsletter provide stakeholders with consistent updates on program activities and service delivery.</w:t>
      </w:r>
    </w:p>
    <w:p w14:paraId="6C6DB360" w14:textId="77777777" w:rsidR="007876EE" w:rsidRDefault="007876EE"/>
    <w:p w14:paraId="478750FA" w14:textId="77777777" w:rsidR="007876EE" w:rsidRDefault="00000000">
      <w:r>
        <w:rPr>
          <w:color w:val="000000"/>
        </w:rPr>
        <w:t>State Interagency Coordinating Council (SICC)</w:t>
      </w:r>
    </w:p>
    <w:p w14:paraId="2D3A5E43"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333F0935" w14:textId="77777777" w:rsidR="007876EE" w:rsidRDefault="007876EE"/>
    <w:p w14:paraId="1450FA11" w14:textId="77777777" w:rsidR="007876EE" w:rsidRDefault="00000000">
      <w:r>
        <w:rPr>
          <w:color w:val="000000"/>
        </w:rPr>
        <w:t>Meetings are open to the public, and agenda topics can be submitted via the TEIS website. Topics addressed in 2024-25 included:</w:t>
      </w:r>
    </w:p>
    <w:p w14:paraId="0196206B" w14:textId="77777777" w:rsidR="007876EE" w:rsidRDefault="00000000">
      <w:r>
        <w:rPr>
          <w:color w:val="000000"/>
        </w:rPr>
        <w:t>-HOPE Family Survey results and feedback.</w:t>
      </w:r>
    </w:p>
    <w:p w14:paraId="77664BDC" w14:textId="77777777" w:rsidR="007876EE" w:rsidRDefault="00000000">
      <w:r>
        <w:rPr>
          <w:color w:val="000000"/>
        </w:rPr>
        <w:t>-Results Monitoring.</w:t>
      </w:r>
    </w:p>
    <w:p w14:paraId="2A793075" w14:textId="77777777" w:rsidR="007876EE" w:rsidRDefault="00000000">
      <w:r>
        <w:rPr>
          <w:color w:val="000000"/>
        </w:rPr>
        <w:t>-TEIS Central Office team functions.</w:t>
      </w:r>
    </w:p>
    <w:p w14:paraId="0644CF5A" w14:textId="77777777" w:rsidR="007876EE" w:rsidRDefault="00000000">
      <w:r>
        <w:rPr>
          <w:color w:val="000000"/>
        </w:rPr>
        <w:t>-POE initiatives and regional goals.</w:t>
      </w:r>
    </w:p>
    <w:p w14:paraId="18D350D1" w14:textId="77777777" w:rsidR="007876EE" w:rsidRDefault="00000000">
      <w:r>
        <w:rPr>
          <w:color w:val="000000"/>
        </w:rPr>
        <w:t>-Other program updates.</w:t>
      </w:r>
    </w:p>
    <w:p w14:paraId="7DD02056" w14:textId="77777777" w:rsidR="007876EE" w:rsidRDefault="007876EE"/>
    <w:p w14:paraId="34758F36" w14:textId="77777777" w:rsidR="007876EE" w:rsidRDefault="00000000">
      <w:r>
        <w:rPr>
          <w:color w:val="000000"/>
        </w:rPr>
        <w:t>Additionally, SICC provided direct feedback to OSEP during Tennessee’s DMS 2.0 audit.</w:t>
      </w:r>
    </w:p>
    <w:p w14:paraId="1D03C9C9" w14:textId="77777777" w:rsidR="007876EE" w:rsidRDefault="007876EE"/>
    <w:p w14:paraId="3560DC37" w14:textId="77777777" w:rsidR="007876EE" w:rsidRDefault="00000000">
      <w:r>
        <w:rPr>
          <w:color w:val="000000"/>
        </w:rPr>
        <w:t>Advisory Councils</w:t>
      </w:r>
    </w:p>
    <w:p w14:paraId="5FED0CA9" w14:textId="77777777" w:rsidR="007876EE" w:rsidRDefault="00000000">
      <w:r>
        <w:rPr>
          <w:color w:val="000000"/>
        </w:rPr>
        <w:t>Two advisory councils serve as key feedback channels:</w:t>
      </w:r>
    </w:p>
    <w:p w14:paraId="240B91B4" w14:textId="77777777" w:rsidR="007876EE" w:rsidRDefault="00000000">
      <w:r>
        <w:rPr>
          <w:color w:val="000000"/>
        </w:rPr>
        <w:lastRenderedPageBreak/>
        <w:t>-Early Intervention Resource Agency (EIRA) Advisory Council – Agencies providing developmental therapy.</w:t>
      </w:r>
    </w:p>
    <w:p w14:paraId="6AE165DA" w14:textId="77777777" w:rsidR="007876EE" w:rsidRDefault="00000000">
      <w:r>
        <w:rPr>
          <w:color w:val="000000"/>
        </w:rPr>
        <w:t>-Vendor Advisory Council – Agencies providing therapy services (speech, physical, occupational).</w:t>
      </w:r>
    </w:p>
    <w:p w14:paraId="640D56A0" w14:textId="77777777" w:rsidR="007876EE" w:rsidRDefault="007876EE"/>
    <w:p w14:paraId="6EC130D5" w14:textId="77777777" w:rsidR="007876EE" w:rsidRDefault="00000000">
      <w:r>
        <w:rPr>
          <w:color w:val="000000"/>
        </w:rPr>
        <w:t>Updates from both councils are shared at quarterly SICC meetings. Membership includes contracted EIS provider agencies.</w:t>
      </w:r>
    </w:p>
    <w:p w14:paraId="047B4D20" w14:textId="77777777" w:rsidR="007876EE" w:rsidRDefault="007876EE"/>
    <w:p w14:paraId="094A6DEA" w14:textId="77777777" w:rsidR="007876EE" w:rsidRDefault="00000000">
      <w:r>
        <w:rPr>
          <w:color w:val="000000"/>
        </w:rPr>
        <w:t>EIRA Advisory Council focuses on:</w:t>
      </w:r>
    </w:p>
    <w:p w14:paraId="076760B6" w14:textId="77777777" w:rsidR="007876EE" w:rsidRDefault="00000000">
      <w:r>
        <w:rPr>
          <w:color w:val="000000"/>
        </w:rPr>
        <w:t>-Improving services for children and families.</w:t>
      </w:r>
    </w:p>
    <w:p w14:paraId="23F5CA29" w14:textId="77777777" w:rsidR="007876EE" w:rsidRDefault="00000000">
      <w:r>
        <w:rPr>
          <w:color w:val="000000"/>
        </w:rPr>
        <w:t>-Increasing access to services statewide.</w:t>
      </w:r>
    </w:p>
    <w:p w14:paraId="27594889" w14:textId="77777777" w:rsidR="007876EE" w:rsidRDefault="00000000">
      <w:r>
        <w:rPr>
          <w:color w:val="000000"/>
        </w:rPr>
        <w:t>-Enhancing communication between TEIS and EIRAs.</w:t>
      </w:r>
    </w:p>
    <w:p w14:paraId="274067BE" w14:textId="77777777" w:rsidR="007876EE" w:rsidRDefault="007876EE"/>
    <w:p w14:paraId="6CD8B1CC"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5029CDC7" w14:textId="77777777" w:rsidR="007876EE" w:rsidRDefault="007876EE"/>
    <w:p w14:paraId="6EC83012" w14:textId="77777777" w:rsidR="007876EE" w:rsidRDefault="00000000">
      <w:r>
        <w:rPr>
          <w:color w:val="000000"/>
        </w:rPr>
        <w:t>Vendor Advisory Council collaborates on:</w:t>
      </w:r>
    </w:p>
    <w:p w14:paraId="10E90825" w14:textId="77777777" w:rsidR="007876EE" w:rsidRDefault="00000000">
      <w:r>
        <w:rPr>
          <w:color w:val="000000"/>
        </w:rPr>
        <w:t>-Issues impacting therapy vendors.</w:t>
      </w:r>
    </w:p>
    <w:p w14:paraId="56EA329B" w14:textId="77777777" w:rsidR="007876EE" w:rsidRDefault="00000000">
      <w:r>
        <w:rPr>
          <w:color w:val="000000"/>
        </w:rPr>
        <w:t>-Streamlining billing and business processes.</w:t>
      </w:r>
    </w:p>
    <w:p w14:paraId="71A442DE" w14:textId="77777777" w:rsidR="007876EE" w:rsidRDefault="00000000">
      <w:r>
        <w:rPr>
          <w:color w:val="000000"/>
        </w:rPr>
        <w:t>-Improving IFSP teaming in partnership with the EIRA Advisory Council.</w:t>
      </w:r>
    </w:p>
    <w:p w14:paraId="45A62154" w14:textId="77777777" w:rsidR="007876EE" w:rsidRDefault="007876EE"/>
    <w:p w14:paraId="115975E6" w14:textId="77777777" w:rsidR="007876EE" w:rsidRDefault="00000000">
      <w:r>
        <w:rPr>
          <w:color w:val="000000"/>
        </w:rPr>
        <w:t>Council Structure</w:t>
      </w:r>
    </w:p>
    <w:p w14:paraId="300CBEFD"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7407BFDB" w14:textId="77777777" w:rsidR="007876EE" w:rsidRDefault="007876EE"/>
    <w:p w14:paraId="68582D7E" w14:textId="77777777" w:rsidR="007876EE" w:rsidRDefault="00000000">
      <w:r>
        <w:rPr>
          <w:color w:val="000000"/>
        </w:rPr>
        <w:t>Office Hours</w:t>
      </w:r>
    </w:p>
    <w:p w14:paraId="19D61B35"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45DE9154" w14:textId="77777777" w:rsidR="007876EE" w:rsidRDefault="007876EE"/>
    <w:p w14:paraId="067A0B87" w14:textId="77777777" w:rsidR="007876EE" w:rsidRDefault="00000000">
      <w:r>
        <w:rPr>
          <w:color w:val="000000"/>
        </w:rPr>
        <w:t>Parent Engagement</w:t>
      </w:r>
    </w:p>
    <w:p w14:paraId="1318DC83" w14:textId="77777777" w:rsidR="007876EE" w:rsidRDefault="00000000">
      <w:r>
        <w:rPr>
          <w:color w:val="000000"/>
        </w:rPr>
        <w:t>Stakeholder engagement activities—along with professional development and technical assistance—help build the capacity of parents through:</w:t>
      </w:r>
    </w:p>
    <w:p w14:paraId="3BD05659" w14:textId="77777777" w:rsidR="007876EE" w:rsidRDefault="00000000">
      <w:r>
        <w:rPr>
          <w:color w:val="000000"/>
        </w:rPr>
        <w:t>-Direct engagement: Participation in SICC or local councils, training sessions, surveys, and direct communication with TEIS leadership.</w:t>
      </w:r>
    </w:p>
    <w:p w14:paraId="428D561F" w14:textId="77777777" w:rsidR="007876EE" w:rsidRDefault="00000000">
      <w:r>
        <w:rPr>
          <w:color w:val="000000"/>
        </w:rPr>
        <w:t>-Indirect engagement: Training and monitoring systems that strengthen IFSP team members’ knowledge and skills, benefiting children and families.</w:t>
      </w:r>
    </w:p>
    <w:p w14:paraId="432DA92C" w14:textId="77777777" w:rsidR="00287B52" w:rsidRPr="00ED172B" w:rsidRDefault="00287B52" w:rsidP="00287B52">
      <w:pPr>
        <w:pStyle w:val="Bold"/>
        <w:rPr>
          <w:b w:val="0"/>
          <w:color w:val="000000" w:themeColor="text1"/>
        </w:rPr>
      </w:pPr>
    </w:p>
    <w:p w14:paraId="49BFC284" w14:textId="77777777" w:rsidR="00715B7C" w:rsidRDefault="00423A30" w:rsidP="00287B52">
      <w:pPr>
        <w:rPr>
          <w:rFonts w:cs="Arial"/>
          <w:b/>
          <w:color w:val="000000" w:themeColor="text1"/>
          <w:szCs w:val="16"/>
        </w:rPr>
      </w:pPr>
      <w:r w:rsidRPr="00ED172B">
        <w:rPr>
          <w:rFonts w:cs="Arial"/>
          <w:b/>
          <w:color w:val="000000" w:themeColor="text1"/>
          <w:szCs w:val="16"/>
        </w:rPr>
        <w:t>Historical Data</w:t>
      </w:r>
    </w:p>
    <w:p w14:paraId="5C96315F" w14:textId="77777777"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2811"/>
        <w:gridCol w:w="875"/>
      </w:tblGrid>
      <w:tr w:rsidR="000378F3" w:rsidRPr="00ED172B" w14:paraId="0CFD98F7" w14:textId="77777777" w:rsidTr="00A40EE1">
        <w:trPr>
          <w:trHeight w:val="350"/>
          <w:tblHeader/>
        </w:trPr>
        <w:tc>
          <w:tcPr>
            <w:tcW w:w="4389" w:type="pct"/>
            <w:tcBorders>
              <w:bottom w:val="single" w:sz="4" w:space="0" w:color="auto"/>
            </w:tcBorders>
            <w:vAlign w:val="center"/>
          </w:tcPr>
          <w:p w14:paraId="08F0E72D"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vAlign w:val="center"/>
          </w:tcPr>
          <w:p w14:paraId="1CE15EC6"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58DFDBB4" w14:textId="77777777" w:rsidTr="00A40EE1">
        <w:trPr>
          <w:trHeight w:val="350"/>
        </w:trPr>
        <w:tc>
          <w:tcPr>
            <w:tcW w:w="4389" w:type="pct"/>
            <w:tcBorders>
              <w:bottom w:val="single" w:sz="4" w:space="0" w:color="auto"/>
            </w:tcBorders>
          </w:tcPr>
          <w:p w14:paraId="77E1F6B2" w14:textId="77777777" w:rsidR="000378F3" w:rsidRPr="00ED172B" w:rsidRDefault="000378F3" w:rsidP="000378F3">
            <w:pPr>
              <w:jc w:val="center"/>
              <w:rPr>
                <w:b/>
                <w:color w:val="000000" w:themeColor="text1"/>
              </w:rPr>
            </w:pPr>
            <w:r w:rsidRPr="00ED172B">
              <w:rPr>
                <w:color w:val="000000" w:themeColor="text1"/>
              </w:rPr>
              <w:t>2005</w:t>
            </w:r>
          </w:p>
        </w:tc>
        <w:tc>
          <w:tcPr>
            <w:tcW w:w="611" w:type="pct"/>
            <w:vAlign w:val="center"/>
          </w:tcPr>
          <w:p w14:paraId="32C208FF" w14:textId="77777777" w:rsidR="000378F3" w:rsidRPr="00ED172B" w:rsidRDefault="000378F3" w:rsidP="000378F3">
            <w:pPr>
              <w:jc w:val="center"/>
              <w:rPr>
                <w:color w:val="000000" w:themeColor="text1"/>
              </w:rPr>
            </w:pPr>
          </w:p>
        </w:tc>
      </w:tr>
    </w:tbl>
    <w:p w14:paraId="1EFC63A8"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699E46C8" w14:textId="77777777" w:rsidTr="00986B99">
        <w:trPr>
          <w:trHeight w:val="350"/>
        </w:trPr>
        <w:tc>
          <w:tcPr>
            <w:tcW w:w="623" w:type="pct"/>
            <w:tcBorders>
              <w:bottom w:val="single" w:sz="4" w:space="0" w:color="auto"/>
            </w:tcBorders>
          </w:tcPr>
          <w:p w14:paraId="5387E0A6"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tcPr>
          <w:p w14:paraId="1EC2181F"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tcPr>
          <w:p w14:paraId="1724329C"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vAlign w:val="center"/>
          </w:tcPr>
          <w:p w14:paraId="62B639E0"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vAlign w:val="center"/>
          </w:tcPr>
          <w:p w14:paraId="03D730DA" w14:textId="77777777" w:rsidR="00965010" w:rsidRPr="00ED172B" w:rsidRDefault="002163F2" w:rsidP="00CD79C5">
            <w:pPr>
              <w:jc w:val="center"/>
              <w:rPr>
                <w:rFonts w:cs="Arial"/>
                <w:b/>
                <w:color w:val="000000" w:themeColor="text1"/>
                <w:szCs w:val="16"/>
              </w:rPr>
            </w:pPr>
            <w:r w:rsidRPr="00ED172B">
              <w:rPr>
                <w:rFonts w:cs="Arial"/>
                <w:b/>
                <w:color w:val="000000" w:themeColor="text1"/>
                <w:szCs w:val="16"/>
              </w:rPr>
              <w:t>2022</w:t>
            </w:r>
          </w:p>
        </w:tc>
        <w:tc>
          <w:tcPr>
            <w:tcW w:w="875" w:type="pct"/>
            <w:vAlign w:val="center"/>
          </w:tcPr>
          <w:p w14:paraId="7179D2F0" w14:textId="77777777" w:rsidR="00965010" w:rsidRPr="00ED172B" w:rsidRDefault="006D43D3" w:rsidP="00CD79C5">
            <w:pPr>
              <w:jc w:val="center"/>
              <w:rPr>
                <w:rFonts w:cs="Arial"/>
                <w:b/>
                <w:color w:val="000000" w:themeColor="text1"/>
                <w:szCs w:val="16"/>
              </w:rPr>
            </w:pPr>
            <w:r w:rsidRPr="00ED172B">
              <w:rPr>
                <w:rFonts w:cs="Arial"/>
                <w:b/>
                <w:color w:val="000000" w:themeColor="text1"/>
                <w:szCs w:val="16"/>
              </w:rPr>
              <w:t>2023</w:t>
            </w:r>
          </w:p>
        </w:tc>
      </w:tr>
      <w:tr w:rsidR="00ED172B" w:rsidRPr="00ED172B" w14:paraId="11654BE6" w14:textId="77777777" w:rsidTr="00986B99">
        <w:trPr>
          <w:trHeight w:val="357"/>
        </w:trPr>
        <w:tc>
          <w:tcPr>
            <w:tcW w:w="623" w:type="pct"/>
          </w:tcPr>
          <w:p w14:paraId="780E61C3"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tcPr>
          <w:p w14:paraId="5AC96063" w14:textId="77777777" w:rsidR="00965010" w:rsidRPr="00ED172B" w:rsidRDefault="00860830" w:rsidP="00186420">
            <w:pPr>
              <w:jc w:val="center"/>
              <w:rPr>
                <w:rFonts w:cs="Arial"/>
                <w:color w:val="000000" w:themeColor="text1"/>
                <w:szCs w:val="16"/>
              </w:rPr>
            </w:pPr>
            <w:r w:rsidRPr="00ED172B">
              <w:rPr>
                <w:rFonts w:cs="Arial"/>
                <w:color w:val="000000" w:themeColor="text1"/>
                <w:szCs w:val="16"/>
              </w:rPr>
              <w:t>.00%</w:t>
            </w:r>
          </w:p>
        </w:tc>
        <w:tc>
          <w:tcPr>
            <w:tcW w:w="875" w:type="pct"/>
          </w:tcPr>
          <w:p w14:paraId="7A839B31" w14:textId="77777777" w:rsidR="00965010" w:rsidRPr="00ED172B" w:rsidRDefault="00965010" w:rsidP="00186420">
            <w:pPr>
              <w:jc w:val="center"/>
              <w:rPr>
                <w:rFonts w:cs="Arial"/>
                <w:color w:val="000000" w:themeColor="text1"/>
                <w:szCs w:val="16"/>
              </w:rPr>
            </w:pPr>
          </w:p>
        </w:tc>
        <w:tc>
          <w:tcPr>
            <w:tcW w:w="875" w:type="pct"/>
            <w:vAlign w:val="center"/>
          </w:tcPr>
          <w:p w14:paraId="25E58FDA" w14:textId="77777777" w:rsidR="00965010" w:rsidRPr="00ED172B" w:rsidRDefault="00965010" w:rsidP="00186420">
            <w:pPr>
              <w:jc w:val="center"/>
              <w:rPr>
                <w:rFonts w:cs="Arial"/>
                <w:color w:val="000000" w:themeColor="text1"/>
                <w:szCs w:val="16"/>
              </w:rPr>
            </w:pPr>
          </w:p>
        </w:tc>
        <w:tc>
          <w:tcPr>
            <w:tcW w:w="875" w:type="pct"/>
            <w:vAlign w:val="center"/>
          </w:tcPr>
          <w:p w14:paraId="72CC6B25" w14:textId="77777777" w:rsidR="00965010" w:rsidRPr="00ED172B" w:rsidRDefault="00965010" w:rsidP="00186420">
            <w:pPr>
              <w:jc w:val="center"/>
              <w:rPr>
                <w:rFonts w:cs="Arial"/>
                <w:color w:val="000000" w:themeColor="text1"/>
                <w:szCs w:val="16"/>
              </w:rPr>
            </w:pPr>
          </w:p>
        </w:tc>
        <w:tc>
          <w:tcPr>
            <w:tcW w:w="875" w:type="pct"/>
            <w:vAlign w:val="center"/>
          </w:tcPr>
          <w:p w14:paraId="27375930" w14:textId="77777777" w:rsidR="00965010" w:rsidRPr="00ED172B" w:rsidRDefault="00965010" w:rsidP="00186420">
            <w:pPr>
              <w:jc w:val="center"/>
              <w:rPr>
                <w:rFonts w:cs="Arial"/>
                <w:color w:val="000000" w:themeColor="text1"/>
                <w:szCs w:val="16"/>
              </w:rPr>
            </w:pPr>
          </w:p>
        </w:tc>
      </w:tr>
      <w:tr w:rsidR="00ED172B" w:rsidRPr="00ED172B" w14:paraId="58701884" w14:textId="77777777" w:rsidTr="00986B99">
        <w:trPr>
          <w:trHeight w:val="85"/>
        </w:trPr>
        <w:tc>
          <w:tcPr>
            <w:tcW w:w="623" w:type="pct"/>
          </w:tcPr>
          <w:p w14:paraId="761D78A3"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Data</w:t>
            </w:r>
          </w:p>
        </w:tc>
        <w:tc>
          <w:tcPr>
            <w:tcW w:w="875" w:type="pct"/>
          </w:tcPr>
          <w:p w14:paraId="63AA0D5C" w14:textId="77777777" w:rsidR="00965010" w:rsidRPr="00ED172B" w:rsidRDefault="00965010" w:rsidP="00186420">
            <w:pPr>
              <w:jc w:val="center"/>
              <w:rPr>
                <w:rFonts w:cs="Arial"/>
                <w:color w:val="000000" w:themeColor="text1"/>
                <w:szCs w:val="16"/>
              </w:rPr>
            </w:pPr>
          </w:p>
        </w:tc>
        <w:tc>
          <w:tcPr>
            <w:tcW w:w="875" w:type="pct"/>
          </w:tcPr>
          <w:p w14:paraId="0DCF5DEA"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6752852A"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63CB8E12" w14:textId="77777777" w:rsidR="00965010" w:rsidRPr="00ED172B" w:rsidRDefault="00965010" w:rsidP="00186420">
            <w:pPr>
              <w:jc w:val="center"/>
              <w:rPr>
                <w:rFonts w:cs="Arial"/>
                <w:color w:val="000000" w:themeColor="text1"/>
                <w:szCs w:val="16"/>
              </w:rPr>
            </w:pPr>
          </w:p>
        </w:tc>
        <w:tc>
          <w:tcPr>
            <w:tcW w:w="875" w:type="pct"/>
            <w:tcBorders>
              <w:bottom w:val="single" w:sz="4" w:space="0" w:color="auto"/>
            </w:tcBorders>
            <w:vAlign w:val="center"/>
          </w:tcPr>
          <w:p w14:paraId="1316455F" w14:textId="77777777" w:rsidR="00965010" w:rsidRPr="00ED172B" w:rsidRDefault="00965010" w:rsidP="00186420">
            <w:pPr>
              <w:jc w:val="center"/>
              <w:rPr>
                <w:rFonts w:cs="Arial"/>
                <w:color w:val="000000" w:themeColor="text1"/>
                <w:szCs w:val="16"/>
              </w:rPr>
            </w:pPr>
          </w:p>
        </w:tc>
      </w:tr>
    </w:tbl>
    <w:p w14:paraId="5F6952F9" w14:textId="77777777" w:rsidR="00720D77" w:rsidRPr="00ED172B" w:rsidRDefault="00720D77" w:rsidP="00720D77">
      <w:pPr>
        <w:pStyle w:val="Italic"/>
        <w:rPr>
          <w:rFonts w:cs="Arial"/>
          <w:i w:val="0"/>
          <w:color w:val="000000" w:themeColor="text1"/>
          <w:szCs w:val="16"/>
        </w:rPr>
      </w:pPr>
    </w:p>
    <w:p w14:paraId="66A0FE2F" w14:textId="77777777" w:rsidR="00965010" w:rsidRPr="00ED172B" w:rsidRDefault="00965010" w:rsidP="00B83404">
      <w:pPr>
        <w:rPr>
          <w:color w:val="000000" w:themeColor="text1"/>
        </w:rPr>
      </w:pPr>
      <w:r w:rsidRPr="00ED172B">
        <w:rPr>
          <w:b/>
          <w:color w:val="000000" w:themeColor="text1"/>
        </w:rPr>
        <w:t>Targets</w:t>
      </w:r>
    </w:p>
    <w:tbl>
      <w:tblPr>
        <w:tblW w:w="2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2476"/>
        <w:gridCol w:w="2653"/>
      </w:tblGrid>
      <w:tr w:rsidR="00CF59E2" w:rsidRPr="00ED172B" w14:paraId="66756173" w14:textId="77777777" w:rsidTr="00811738">
        <w:trPr>
          <w:trHeight w:val="360"/>
        </w:trPr>
        <w:tc>
          <w:tcPr>
            <w:tcW w:w="722" w:type="pct"/>
            <w:tcBorders>
              <w:bottom w:val="single" w:sz="4" w:space="0" w:color="auto"/>
            </w:tcBorders>
          </w:tcPr>
          <w:p w14:paraId="49444836" w14:textId="77777777" w:rsidR="00CF59E2" w:rsidRPr="00ED172B" w:rsidRDefault="00CF59E2" w:rsidP="00C375EA">
            <w:pPr>
              <w:jc w:val="center"/>
              <w:rPr>
                <w:b/>
                <w:color w:val="000000" w:themeColor="text1"/>
              </w:rPr>
            </w:pPr>
            <w:r w:rsidRPr="00ED172B">
              <w:rPr>
                <w:b/>
                <w:color w:val="000000" w:themeColor="text1"/>
              </w:rPr>
              <w:t>FFY</w:t>
            </w:r>
          </w:p>
        </w:tc>
        <w:tc>
          <w:tcPr>
            <w:tcW w:w="2065" w:type="pct"/>
            <w:vAlign w:val="center"/>
          </w:tcPr>
          <w:p w14:paraId="5B93121D" w14:textId="77777777" w:rsidR="00CF59E2" w:rsidRPr="00ED172B" w:rsidRDefault="00CF59E2" w:rsidP="00C375EA">
            <w:pPr>
              <w:jc w:val="center"/>
              <w:rPr>
                <w:b/>
                <w:color w:val="000000" w:themeColor="text1"/>
              </w:rPr>
            </w:pPr>
            <w:r w:rsidRPr="00ED172B">
              <w:rPr>
                <w:b/>
                <w:color w:val="000000" w:themeColor="text1"/>
              </w:rPr>
              <w:t>2024</w:t>
            </w:r>
          </w:p>
        </w:tc>
        <w:tc>
          <w:tcPr>
            <w:tcW w:w="2213" w:type="pct"/>
          </w:tcPr>
          <w:p w14:paraId="342ABBDA" w14:textId="77777777" w:rsidR="00CF59E2" w:rsidRPr="00ED172B" w:rsidRDefault="00CF59E2" w:rsidP="00C375EA">
            <w:pPr>
              <w:jc w:val="center"/>
              <w:rPr>
                <w:b/>
                <w:color w:val="000000" w:themeColor="text1"/>
              </w:rPr>
            </w:pPr>
            <w:r>
              <w:rPr>
                <w:rFonts w:cs="Arial"/>
                <w:b/>
                <w:color w:val="000000" w:themeColor="text1"/>
                <w:szCs w:val="16"/>
              </w:rPr>
              <w:t>2025</w:t>
            </w:r>
          </w:p>
        </w:tc>
      </w:tr>
      <w:tr w:rsidR="00CF59E2" w:rsidRPr="00ED172B" w14:paraId="79B70588" w14:textId="77777777" w:rsidTr="00811738">
        <w:trPr>
          <w:trHeight w:val="367"/>
        </w:trPr>
        <w:tc>
          <w:tcPr>
            <w:tcW w:w="722" w:type="pct"/>
          </w:tcPr>
          <w:p w14:paraId="40286F04"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Target&gt;=</w:t>
            </w:r>
          </w:p>
        </w:tc>
        <w:tc>
          <w:tcPr>
            <w:tcW w:w="2065" w:type="pct"/>
            <w:vAlign w:val="center"/>
          </w:tcPr>
          <w:p w14:paraId="6A37B80E" w14:textId="77777777" w:rsidR="00CF59E2" w:rsidRPr="00ED172B" w:rsidRDefault="00CF59E2" w:rsidP="00C375EA">
            <w:pPr>
              <w:jc w:val="center"/>
              <w:rPr>
                <w:color w:val="000000" w:themeColor="text1"/>
              </w:rPr>
            </w:pPr>
          </w:p>
        </w:tc>
        <w:tc>
          <w:tcPr>
            <w:tcW w:w="2213" w:type="pct"/>
          </w:tcPr>
          <w:p w14:paraId="769CD57D" w14:textId="77777777" w:rsidR="00CF59E2" w:rsidRPr="00ED172B" w:rsidRDefault="00CF59E2" w:rsidP="00C375EA">
            <w:pPr>
              <w:jc w:val="center"/>
              <w:rPr>
                <w:color w:val="000000" w:themeColor="text1"/>
              </w:rPr>
            </w:pPr>
          </w:p>
        </w:tc>
      </w:tr>
    </w:tbl>
    <w:p w14:paraId="7D5C2C9C" w14:textId="77777777" w:rsidR="0065724F" w:rsidRPr="00ED172B" w:rsidRDefault="0065724F">
      <w:pPr>
        <w:rPr>
          <w:b/>
          <w:color w:val="000000" w:themeColor="text1"/>
        </w:rPr>
      </w:pPr>
    </w:p>
    <w:p w14:paraId="542866C4" w14:textId="77777777" w:rsidR="00715B7C"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2059"/>
        <w:gridCol w:w="2133"/>
        <w:gridCol w:w="1419"/>
        <w:gridCol w:w="750"/>
        <w:gridCol w:w="885"/>
        <w:gridCol w:w="1019"/>
        <w:gridCol w:w="1282"/>
        <w:gridCol w:w="1243"/>
      </w:tblGrid>
      <w:tr w:rsidR="00ED172B" w:rsidRPr="00ED172B" w14:paraId="584B029A" w14:textId="77777777" w:rsidTr="00986B99">
        <w:trPr>
          <w:tblHeader/>
        </w:trPr>
        <w:tc>
          <w:tcPr>
            <w:tcW w:w="0" w:type="auto"/>
          </w:tcPr>
          <w:p w14:paraId="2CFB3E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vAlign w:val="bottom"/>
          </w:tcPr>
          <w:p w14:paraId="3D885230"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vAlign w:val="bottom"/>
          </w:tcPr>
          <w:p w14:paraId="31C5D0A2"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vAlign w:val="bottom"/>
          </w:tcPr>
          <w:p w14:paraId="0CE19E7D" w14:textId="77777777" w:rsidR="003F7F2F" w:rsidRPr="00ED172B" w:rsidRDefault="00CD74B5" w:rsidP="00CD79C5">
            <w:pPr>
              <w:jc w:val="center"/>
              <w:rPr>
                <w:rFonts w:cs="Arial"/>
                <w:b/>
                <w:color w:val="000000" w:themeColor="text1"/>
                <w:szCs w:val="16"/>
              </w:rPr>
            </w:pPr>
            <w:r>
              <w:rPr>
                <w:rFonts w:cs="Arial"/>
                <w:b/>
                <w:color w:val="000000" w:themeColor="text1"/>
                <w:szCs w:val="16"/>
              </w:rPr>
              <w:t>FFY 2023 Data</w:t>
            </w:r>
          </w:p>
        </w:tc>
        <w:tc>
          <w:tcPr>
            <w:tcW w:w="0" w:type="auto"/>
            <w:vAlign w:val="bottom"/>
          </w:tcPr>
          <w:p w14:paraId="4689C766" w14:textId="77777777" w:rsidR="003F7F2F" w:rsidRPr="00ED172B" w:rsidRDefault="00F22D09" w:rsidP="00CD79C5">
            <w:pPr>
              <w:jc w:val="center"/>
              <w:rPr>
                <w:rFonts w:cs="Arial"/>
                <w:b/>
                <w:color w:val="000000" w:themeColor="text1"/>
                <w:szCs w:val="16"/>
              </w:rPr>
            </w:pPr>
            <w:r>
              <w:rPr>
                <w:rFonts w:cs="Arial"/>
                <w:b/>
                <w:color w:val="000000" w:themeColor="text1"/>
                <w:szCs w:val="16"/>
              </w:rPr>
              <w:t>FFY 2024 Target</w:t>
            </w:r>
          </w:p>
        </w:tc>
        <w:tc>
          <w:tcPr>
            <w:tcW w:w="472" w:type="pct"/>
            <w:vAlign w:val="bottom"/>
          </w:tcPr>
          <w:p w14:paraId="2EB3716B" w14:textId="77777777" w:rsidR="003F7F2F" w:rsidRPr="00ED172B" w:rsidRDefault="00F22D09" w:rsidP="00CD79C5">
            <w:pPr>
              <w:jc w:val="center"/>
              <w:rPr>
                <w:rFonts w:cs="Arial"/>
                <w:b/>
                <w:color w:val="000000" w:themeColor="text1"/>
                <w:szCs w:val="16"/>
              </w:rPr>
            </w:pPr>
            <w:r>
              <w:rPr>
                <w:rFonts w:cs="Arial"/>
                <w:b/>
                <w:color w:val="000000" w:themeColor="text1"/>
                <w:szCs w:val="16"/>
              </w:rPr>
              <w:t>FFY 2024 Data</w:t>
            </w:r>
          </w:p>
        </w:tc>
        <w:tc>
          <w:tcPr>
            <w:tcW w:w="594" w:type="pct"/>
            <w:vAlign w:val="bottom"/>
          </w:tcPr>
          <w:p w14:paraId="3512D5C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vAlign w:val="bottom"/>
          </w:tcPr>
          <w:p w14:paraId="2EA0578A"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17B4D35D" w14:textId="77777777" w:rsidTr="00986B99">
        <w:tc>
          <w:tcPr>
            <w:tcW w:w="0" w:type="auto"/>
          </w:tcPr>
          <w:p w14:paraId="50AFB3FF" w14:textId="77777777" w:rsidR="003F7F2F" w:rsidRPr="00ED172B" w:rsidRDefault="00320806" w:rsidP="00320806">
            <w:pPr>
              <w:jc w:val="center"/>
              <w:rPr>
                <w:color w:val="000000" w:themeColor="text1"/>
              </w:rPr>
            </w:pPr>
            <w:r w:rsidRPr="00ED172B">
              <w:rPr>
                <w:color w:val="000000" w:themeColor="text1"/>
              </w:rPr>
              <w:t>0</w:t>
            </w:r>
          </w:p>
        </w:tc>
        <w:tc>
          <w:tcPr>
            <w:tcW w:w="0" w:type="auto"/>
          </w:tcPr>
          <w:p w14:paraId="7F99269C" w14:textId="77777777" w:rsidR="003F7F2F" w:rsidRPr="00ED172B" w:rsidRDefault="00320806" w:rsidP="00320806">
            <w:pPr>
              <w:jc w:val="center"/>
              <w:rPr>
                <w:color w:val="000000" w:themeColor="text1"/>
              </w:rPr>
            </w:pPr>
            <w:r w:rsidRPr="00ED172B">
              <w:rPr>
                <w:color w:val="000000" w:themeColor="text1"/>
              </w:rPr>
              <w:t>0</w:t>
            </w:r>
          </w:p>
        </w:tc>
        <w:tc>
          <w:tcPr>
            <w:tcW w:w="0" w:type="auto"/>
            <w:vAlign w:val="center"/>
          </w:tcPr>
          <w:p w14:paraId="316B1ADF" w14:textId="77777777" w:rsidR="003F7F2F" w:rsidRPr="00ED172B" w:rsidRDefault="00320806" w:rsidP="00320806">
            <w:pPr>
              <w:jc w:val="center"/>
              <w:rPr>
                <w:color w:val="000000" w:themeColor="text1"/>
              </w:rPr>
            </w:pPr>
            <w:r w:rsidRPr="00ED172B">
              <w:rPr>
                <w:color w:val="000000" w:themeColor="text1"/>
              </w:rPr>
              <w:t>0</w:t>
            </w:r>
          </w:p>
        </w:tc>
        <w:tc>
          <w:tcPr>
            <w:tcW w:w="0" w:type="auto"/>
          </w:tcPr>
          <w:p w14:paraId="74F29B93" w14:textId="77777777" w:rsidR="003F7F2F" w:rsidRPr="00ED172B" w:rsidRDefault="003F7F2F" w:rsidP="00320806">
            <w:pPr>
              <w:jc w:val="center"/>
              <w:rPr>
                <w:color w:val="000000" w:themeColor="text1"/>
              </w:rPr>
            </w:pPr>
          </w:p>
        </w:tc>
        <w:tc>
          <w:tcPr>
            <w:tcW w:w="0" w:type="auto"/>
          </w:tcPr>
          <w:p w14:paraId="1A4749F2" w14:textId="77777777" w:rsidR="003F7F2F" w:rsidRPr="00ED172B" w:rsidRDefault="003F7F2F" w:rsidP="00320806">
            <w:pPr>
              <w:jc w:val="center"/>
              <w:rPr>
                <w:color w:val="000000" w:themeColor="text1"/>
              </w:rPr>
            </w:pPr>
          </w:p>
        </w:tc>
        <w:tc>
          <w:tcPr>
            <w:tcW w:w="472" w:type="pct"/>
          </w:tcPr>
          <w:p w14:paraId="3BEC7FFD" w14:textId="77777777" w:rsidR="003F7F2F" w:rsidRPr="00ED172B" w:rsidRDefault="003F7F2F" w:rsidP="00320806">
            <w:pPr>
              <w:jc w:val="center"/>
              <w:rPr>
                <w:color w:val="000000" w:themeColor="text1"/>
              </w:rPr>
            </w:pPr>
          </w:p>
        </w:tc>
        <w:tc>
          <w:tcPr>
            <w:tcW w:w="594" w:type="pct"/>
          </w:tcPr>
          <w:p w14:paraId="7AF6D3CA" w14:textId="77777777" w:rsidR="003F7F2F" w:rsidRPr="00ED172B" w:rsidRDefault="00320806" w:rsidP="00320806">
            <w:pPr>
              <w:jc w:val="center"/>
              <w:rPr>
                <w:color w:val="000000" w:themeColor="text1"/>
              </w:rPr>
            </w:pPr>
            <w:r w:rsidRPr="00ED172B">
              <w:rPr>
                <w:color w:val="000000" w:themeColor="text1"/>
              </w:rPr>
              <w:t>N/A</w:t>
            </w:r>
          </w:p>
        </w:tc>
        <w:tc>
          <w:tcPr>
            <w:tcW w:w="576" w:type="pct"/>
          </w:tcPr>
          <w:p w14:paraId="6A27E624" w14:textId="77777777" w:rsidR="003F7F2F" w:rsidRPr="00ED172B" w:rsidRDefault="00320806" w:rsidP="00320806">
            <w:pPr>
              <w:jc w:val="center"/>
              <w:rPr>
                <w:color w:val="000000" w:themeColor="text1"/>
              </w:rPr>
            </w:pPr>
            <w:r w:rsidRPr="00ED172B">
              <w:rPr>
                <w:color w:val="000000" w:themeColor="text1"/>
              </w:rPr>
              <w:t>N/A</w:t>
            </w:r>
          </w:p>
        </w:tc>
      </w:tr>
    </w:tbl>
    <w:bookmarkEnd w:id="58"/>
    <w:bookmarkEnd w:id="59"/>
    <w:p w14:paraId="0F1D59ED"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740F82FB" w14:textId="77777777" w:rsidR="00EA0143" w:rsidRPr="00ED172B" w:rsidRDefault="00860830" w:rsidP="00EA0143">
      <w:pPr>
        <w:rPr>
          <w:rFonts w:cs="Arial"/>
          <w:color w:val="000000" w:themeColor="text1"/>
          <w:szCs w:val="16"/>
        </w:rPr>
      </w:pPr>
      <w:r w:rsidRPr="00ED172B">
        <w:rPr>
          <w:rFonts w:cs="Arial"/>
          <w:color w:val="000000" w:themeColor="text1"/>
          <w:szCs w:val="16"/>
        </w:rPr>
        <w:t xml:space="preserve">There were no mediations held during FFY 2024-25. States are not required to establish baseline or targets if the number of mediation sessions is less than 10. </w:t>
      </w:r>
    </w:p>
    <w:p w14:paraId="1220C5A2" w14:textId="77777777" w:rsidR="00DC0682" w:rsidRPr="00A40EE1" w:rsidRDefault="000D0117" w:rsidP="007B0787">
      <w:pPr>
        <w:pStyle w:val="Heading2"/>
      </w:pPr>
      <w:bookmarkStart w:id="60" w:name="_Hlk79570511"/>
      <w:r w:rsidRPr="00A40EE1">
        <w:lastRenderedPageBreak/>
        <w:t xml:space="preserve">10 - </w:t>
      </w:r>
      <w:r w:rsidR="00DC0682" w:rsidRPr="00A40EE1">
        <w:t>Prior FFY Required Actions</w:t>
      </w:r>
      <w:bookmarkEnd w:id="60"/>
    </w:p>
    <w:p w14:paraId="0E4A8171" w14:textId="77777777" w:rsidR="00905F26" w:rsidRPr="00ED172B" w:rsidRDefault="00320806" w:rsidP="00320806">
      <w:pPr>
        <w:rPr>
          <w:color w:val="000000" w:themeColor="text1"/>
        </w:rPr>
      </w:pPr>
      <w:r w:rsidRPr="00ED172B">
        <w:rPr>
          <w:color w:val="000000" w:themeColor="text1"/>
        </w:rPr>
        <w:t>None</w:t>
      </w:r>
    </w:p>
    <w:p w14:paraId="5B547842" w14:textId="77777777" w:rsidR="00DC0682" w:rsidRPr="00A40EE1" w:rsidRDefault="000D0117" w:rsidP="007B0787">
      <w:pPr>
        <w:pStyle w:val="Heading2"/>
      </w:pPr>
      <w:r w:rsidRPr="00A40EE1">
        <w:t xml:space="preserve">10 - </w:t>
      </w:r>
      <w:r w:rsidR="00DC0682" w:rsidRPr="00A40EE1">
        <w:t>OSEP Response</w:t>
      </w:r>
    </w:p>
    <w:p w14:paraId="52965C42" w14:textId="77777777" w:rsidR="00DC0682" w:rsidRPr="00ED172B" w:rsidRDefault="00320806" w:rsidP="00320806">
      <w:pPr>
        <w:rPr>
          <w:color w:val="000000" w:themeColor="text1"/>
        </w:rPr>
      </w:pPr>
      <w:r w:rsidRPr="00ED172B">
        <w:rPr>
          <w:color w:val="000000" w:themeColor="text1"/>
        </w:rPr>
        <w:t xml:space="preserve">The State reported fewer than ten mediations held in FFY 2024. The State is not required to meet its targets until any fiscal year in which ten or more mediations </w:t>
      </w:r>
      <w:proofErr w:type="gramStart"/>
      <w:r w:rsidRPr="00ED172B">
        <w:rPr>
          <w:color w:val="000000" w:themeColor="text1"/>
        </w:rPr>
        <w:t>were</w:t>
      </w:r>
      <w:proofErr w:type="gramEnd"/>
      <w:r w:rsidRPr="00ED172B">
        <w:rPr>
          <w:color w:val="000000" w:themeColor="text1"/>
        </w:rPr>
        <w:t xml:space="preserve"> held.</w:t>
      </w:r>
    </w:p>
    <w:p w14:paraId="6D5E3979" w14:textId="77777777" w:rsidR="00DC0682" w:rsidRPr="00A40EE1" w:rsidRDefault="000D0117" w:rsidP="007B0787">
      <w:pPr>
        <w:pStyle w:val="Heading2"/>
      </w:pPr>
      <w:r w:rsidRPr="00A40EE1">
        <w:t xml:space="preserve">10 - </w:t>
      </w:r>
      <w:r w:rsidR="00DC0682" w:rsidRPr="00A40EE1">
        <w:t>Required Actions</w:t>
      </w:r>
    </w:p>
    <w:p w14:paraId="52CFCD91" w14:textId="77777777" w:rsidR="00DC0682" w:rsidRPr="00ED172B" w:rsidRDefault="00DC0682" w:rsidP="00320806">
      <w:pPr>
        <w:rPr>
          <w:color w:val="000000" w:themeColor="text1"/>
        </w:rPr>
      </w:pPr>
    </w:p>
    <w:p w14:paraId="090E2233" w14:textId="77777777" w:rsidR="00DD311B" w:rsidRPr="00ED172B" w:rsidRDefault="00DD311B">
      <w:pPr>
        <w:spacing w:before="0" w:after="200" w:line="276" w:lineRule="auto"/>
        <w:rPr>
          <w:color w:val="000000" w:themeColor="text1"/>
        </w:rPr>
      </w:pPr>
      <w:r w:rsidRPr="00ED172B">
        <w:rPr>
          <w:color w:val="000000" w:themeColor="text1"/>
        </w:rPr>
        <w:br w:type="page"/>
      </w:r>
    </w:p>
    <w:p w14:paraId="7E42AEED" w14:textId="77777777" w:rsidR="00621DEC" w:rsidRPr="00ED172B" w:rsidRDefault="00621DEC" w:rsidP="00621DEC">
      <w:pPr>
        <w:pStyle w:val="Heading1"/>
        <w:rPr>
          <w:color w:val="000000" w:themeColor="text1"/>
        </w:rPr>
      </w:pPr>
      <w:bookmarkStart w:id="61" w:name="_Hlk109646734"/>
      <w:bookmarkStart w:id="62" w:name="_Toc392159348"/>
      <w:r w:rsidRPr="00ED172B">
        <w:rPr>
          <w:color w:val="000000" w:themeColor="text1"/>
        </w:rPr>
        <w:lastRenderedPageBreak/>
        <w:t>Indicator 11: State Systemic Improvement Plan</w:t>
      </w:r>
    </w:p>
    <w:p w14:paraId="5F3DC756"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60151737"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2428852E" w14:textId="77777777"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4189F447" w14:textId="77777777" w:rsidR="00621DEC" w:rsidRPr="00ED172B" w:rsidRDefault="00621DEC" w:rsidP="00621DEC">
      <w:pPr>
        <w:rPr>
          <w:b/>
          <w:color w:val="000000" w:themeColor="text1"/>
        </w:rPr>
      </w:pPr>
      <w:r w:rsidRPr="00ED172B">
        <w:rPr>
          <w:b/>
          <w:color w:val="000000" w:themeColor="text1"/>
        </w:rPr>
        <w:t>Measurement</w:t>
      </w:r>
    </w:p>
    <w:p w14:paraId="646D14F8" w14:textId="77777777" w:rsidR="009E3024" w:rsidRDefault="0010664F" w:rsidP="009E3024">
      <w:r w:rsidRPr="00811738">
        <w:rPr>
          <w:b/>
          <w:bCs/>
        </w:rPr>
        <w:t>Results Indicator:</w:t>
      </w:r>
      <w:r>
        <w:t xml:space="preserve"> </w:t>
      </w:r>
      <w:r w:rsidR="009E3024">
        <w:t>The State’s SPP/APR includes an SSIP that is a comprehensive, ambitious, yet achievable multi-year plan for improving results for infants and toddlers with disabilities and their families. The SSIP includes each of the components described below.</w:t>
      </w:r>
    </w:p>
    <w:p w14:paraId="47CA4B61" w14:textId="77777777" w:rsidR="00621DEC" w:rsidRPr="00ED172B" w:rsidRDefault="00621DEC" w:rsidP="00621DEC">
      <w:pPr>
        <w:rPr>
          <w:b/>
          <w:color w:val="000000" w:themeColor="text1"/>
        </w:rPr>
      </w:pPr>
      <w:r w:rsidRPr="00ED172B">
        <w:rPr>
          <w:b/>
          <w:color w:val="000000" w:themeColor="text1"/>
        </w:rPr>
        <w:t>Instructions</w:t>
      </w:r>
    </w:p>
    <w:p w14:paraId="36BAA78C" w14:textId="77777777"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31BA817F" w14:textId="77777777"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5B06C498" w14:textId="77777777"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r w:rsidR="00763F1C" w:rsidRPr="00D77E41">
        <w:t>),</w:t>
      </w:r>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2DB0E4CB"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64616F6"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79EBC5B0" w14:textId="77777777" w:rsidR="009E3024" w:rsidRPr="00C76255" w:rsidRDefault="009E3024" w:rsidP="009E3024">
      <w:pPr>
        <w:pStyle w:val="Subhed"/>
        <w:rPr>
          <w:b w:val="0"/>
        </w:rPr>
      </w:pPr>
      <w:r w:rsidRPr="00C76255">
        <w:rPr>
          <w:i/>
        </w:rPr>
        <w:t>Phase I: Analysis</w:t>
      </w:r>
      <w:r w:rsidR="00FA283D">
        <w:rPr>
          <w:b w:val="0"/>
        </w:rPr>
        <w:t>:</w:t>
      </w:r>
    </w:p>
    <w:p w14:paraId="650BE78C" w14:textId="77777777" w:rsidR="009E3024" w:rsidRPr="00D77E41" w:rsidRDefault="00FB141D" w:rsidP="00F85A5B">
      <w:pPr>
        <w:ind w:left="360"/>
      </w:pPr>
      <w:r>
        <w:t xml:space="preserve">- </w:t>
      </w:r>
      <w:r w:rsidR="009E3024" w:rsidRPr="00D77E41">
        <w:t xml:space="preserve">Data </w:t>
      </w:r>
      <w:proofErr w:type="gramStart"/>
      <w:r w:rsidR="009E3024" w:rsidRPr="00D77E41">
        <w:t>Analysis;</w:t>
      </w:r>
      <w:proofErr w:type="gramEnd"/>
    </w:p>
    <w:p w14:paraId="14BED462" w14:textId="77777777" w:rsidR="009E3024" w:rsidRPr="00D77E41" w:rsidRDefault="00FB141D" w:rsidP="00F85A5B">
      <w:pPr>
        <w:ind w:left="360"/>
      </w:pPr>
      <w:r>
        <w:t xml:space="preserve">- </w:t>
      </w:r>
      <w:r w:rsidR="009E3024" w:rsidRPr="00D77E41">
        <w:t xml:space="preserve">Analysis of State Infrastructure to Support Improvement and Build </w:t>
      </w:r>
      <w:proofErr w:type="gramStart"/>
      <w:r w:rsidR="009E3024" w:rsidRPr="00D77E41">
        <w:t>Capacity;</w:t>
      </w:r>
      <w:proofErr w:type="gramEnd"/>
    </w:p>
    <w:p w14:paraId="77E66401" w14:textId="77777777" w:rsidR="009E3024" w:rsidRPr="00D77E41" w:rsidRDefault="00FB141D" w:rsidP="00F85A5B">
      <w:pPr>
        <w:ind w:left="360"/>
      </w:pPr>
      <w:r>
        <w:t xml:space="preserve">- </w:t>
      </w:r>
      <w:r w:rsidR="009E3024" w:rsidRPr="00D77E41">
        <w:t xml:space="preserve">State-identified Measurable Result(s) for Infants and Toddlers with Disabilities and their </w:t>
      </w:r>
      <w:proofErr w:type="gramStart"/>
      <w:r w:rsidR="009E3024" w:rsidRPr="00D77E41">
        <w:t>Families;</w:t>
      </w:r>
      <w:proofErr w:type="gramEnd"/>
    </w:p>
    <w:p w14:paraId="5C97613D" w14:textId="77777777" w:rsidR="009E3024" w:rsidRPr="00D77E41" w:rsidRDefault="00FB141D" w:rsidP="00F85A5B">
      <w:pPr>
        <w:ind w:left="360"/>
      </w:pPr>
      <w:r>
        <w:t xml:space="preserve">- </w:t>
      </w:r>
      <w:r w:rsidR="009E3024" w:rsidRPr="00D77E41">
        <w:t>Selection of Coherent Improvement Strategies; and</w:t>
      </w:r>
    </w:p>
    <w:p w14:paraId="367A4A23" w14:textId="77777777" w:rsidR="009E3024" w:rsidRPr="00D77E41" w:rsidRDefault="00FB141D" w:rsidP="00F85A5B">
      <w:pPr>
        <w:ind w:left="360"/>
      </w:pPr>
      <w:r>
        <w:t xml:space="preserve">- </w:t>
      </w:r>
      <w:r w:rsidR="009E3024" w:rsidRPr="00D77E41">
        <w:t>Theory of Action.</w:t>
      </w:r>
    </w:p>
    <w:p w14:paraId="0C7AE68D" w14:textId="77777777"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61EB6DC9" w14:textId="77777777" w:rsidR="009E3024" w:rsidRPr="00D77E41" w:rsidRDefault="00C334F4" w:rsidP="0055373D">
      <w:pPr>
        <w:ind w:left="360"/>
      </w:pPr>
      <w:r>
        <w:t xml:space="preserve">- </w:t>
      </w:r>
      <w:r w:rsidR="009E3024" w:rsidRPr="00D77E41">
        <w:t xml:space="preserve">Infrastructure </w:t>
      </w:r>
      <w:proofErr w:type="gramStart"/>
      <w:r w:rsidR="009E3024" w:rsidRPr="00D77E41">
        <w:t>Development;</w:t>
      </w:r>
      <w:proofErr w:type="gramEnd"/>
    </w:p>
    <w:p w14:paraId="1FDFAB90" w14:textId="77777777" w:rsidR="009E3024" w:rsidRPr="00D77E41" w:rsidRDefault="00C334F4" w:rsidP="0055373D">
      <w:pPr>
        <w:ind w:left="360"/>
      </w:pPr>
      <w:r>
        <w:t xml:space="preserve">- </w:t>
      </w:r>
      <w:r w:rsidR="009E3024" w:rsidRPr="00D77E41">
        <w:t>Support for EIS Program and/or EIS Provider Implementation of Evidence-Based Practices; and</w:t>
      </w:r>
    </w:p>
    <w:p w14:paraId="62C56A3C" w14:textId="77777777" w:rsidR="009E3024" w:rsidRPr="00D77E41" w:rsidRDefault="00C334F4" w:rsidP="0055373D">
      <w:pPr>
        <w:ind w:left="360"/>
      </w:pPr>
      <w:r>
        <w:t xml:space="preserve">- </w:t>
      </w:r>
      <w:r w:rsidR="009E3024" w:rsidRPr="00D77E41">
        <w:t>Evaluation.</w:t>
      </w:r>
    </w:p>
    <w:p w14:paraId="4A895F1B" w14:textId="77777777"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13126A73" w14:textId="77777777" w:rsidR="009E3024" w:rsidRPr="00D77E41" w:rsidRDefault="00FB141D" w:rsidP="00F85A5B">
      <w:pPr>
        <w:ind w:left="360"/>
      </w:pPr>
      <w:r>
        <w:t xml:space="preserve">- </w:t>
      </w:r>
      <w:r w:rsidR="009E3024" w:rsidRPr="00D77E41">
        <w:t>Results of Ongoing Evaluation and Revisions to the SSIP.</w:t>
      </w:r>
    </w:p>
    <w:p w14:paraId="448A76DF" w14:textId="77777777" w:rsidR="009E3024" w:rsidRPr="00C76255" w:rsidRDefault="009E3024" w:rsidP="009E3024">
      <w:pPr>
        <w:rPr>
          <w:b/>
        </w:rPr>
      </w:pPr>
      <w:r w:rsidRPr="00C76255">
        <w:rPr>
          <w:b/>
        </w:rPr>
        <w:t>Specific Content of Each Phase of the SSIP</w:t>
      </w:r>
    </w:p>
    <w:p w14:paraId="0EFF3297" w14:textId="77777777" w:rsidR="009E3024" w:rsidRPr="00D77E41" w:rsidRDefault="009E3024" w:rsidP="009E3024">
      <w:r w:rsidRPr="00D77E41">
        <w:t>Refer to FFY 2013-2015 Measurement Table for detailed requirements of Phase I and Phase II SSIP submissions.</w:t>
      </w:r>
    </w:p>
    <w:p w14:paraId="6F447BB5"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14AB914" w14:textId="77777777" w:rsidR="009E3024" w:rsidRPr="00C76255" w:rsidRDefault="009E3024" w:rsidP="009E3024">
      <w:pPr>
        <w:rPr>
          <w:b/>
          <w:i/>
        </w:rPr>
      </w:pPr>
      <w:r w:rsidRPr="00C76255">
        <w:rPr>
          <w:b/>
          <w:i/>
        </w:rPr>
        <w:t>Phase III: Implementation and Evaluation</w:t>
      </w:r>
    </w:p>
    <w:p w14:paraId="1AAB0484"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w:t>
      </w:r>
      <w:proofErr w:type="spellStart"/>
      <w:r w:rsidRPr="00D77E41">
        <w:t>SiMR</w:t>
      </w:r>
      <w:proofErr w:type="spellEnd"/>
      <w:r w:rsidRPr="00D77E41">
        <w:t xml:space="preserve">);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w:t>
      </w:r>
      <w:proofErr w:type="gramStart"/>
      <w:r w:rsidRPr="00D77E41">
        <w:t>support</w:t>
      </w:r>
      <w:proofErr w:type="gramEnd"/>
      <w:r w:rsidRPr="00D77E41">
        <w:t xml:space="preserve"> this decision.</w:t>
      </w:r>
    </w:p>
    <w:p w14:paraId="2DD90409" w14:textId="77777777" w:rsidR="009E3024" w:rsidRPr="00D77E41" w:rsidRDefault="009E3024" w:rsidP="009E3024">
      <w:pPr>
        <w:tabs>
          <w:tab w:val="left" w:pos="270"/>
          <w:tab w:val="left" w:pos="630"/>
        </w:tabs>
      </w:pPr>
      <w:r w:rsidRPr="00D77E41">
        <w:t>A</w:t>
      </w:r>
      <w:proofErr w:type="gramStart"/>
      <w:r>
        <w:t>.</w:t>
      </w:r>
      <w:r w:rsidRPr="00D77E41">
        <w:t xml:space="preserve"> </w:t>
      </w:r>
      <w:r>
        <w:tab/>
      </w:r>
      <w:r w:rsidRPr="00D77E41">
        <w:t>Data</w:t>
      </w:r>
      <w:proofErr w:type="gramEnd"/>
      <w:r w:rsidRPr="00D77E41">
        <w:t xml:space="preserve"> Analysis</w:t>
      </w:r>
    </w:p>
    <w:p w14:paraId="797C9D11" w14:textId="77777777"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w:t>
      </w:r>
      <w:proofErr w:type="spellStart"/>
      <w:r w:rsidRPr="00D77E41">
        <w:t>SiMR</w:t>
      </w:r>
      <w:proofErr w:type="spellEnd"/>
      <w:r w:rsidRPr="00D77E41">
        <w:t xml:space="preserve">. The State must report on whether the State met its target. In addition, the State may report on any additional data (e.g., progress monitoring data) that </w:t>
      </w:r>
      <w:proofErr w:type="gramStart"/>
      <w:r w:rsidRPr="00D77E41">
        <w:t>were</w:t>
      </w:r>
      <w:proofErr w:type="gramEnd"/>
      <w:r w:rsidRPr="00D77E41">
        <w:t xml:space="preserve"> collected and analyzed that would suggest progress toward the </w:t>
      </w:r>
      <w:proofErr w:type="spellStart"/>
      <w:r w:rsidRPr="00D77E41">
        <w:t>SiMR</w:t>
      </w:r>
      <w:proofErr w:type="spellEnd"/>
      <w:r w:rsidRPr="00D77E41">
        <w:t xml:space="preserve">. States using a subset of the population from the indicator (e.g., a sample, cohort model) should describe how data are collected and analyzed for the </w:t>
      </w:r>
      <w:proofErr w:type="spellStart"/>
      <w:r w:rsidRPr="00D77E41">
        <w:t>SiMR</w:t>
      </w:r>
      <w:proofErr w:type="spellEnd"/>
      <w:r w:rsidRPr="00D77E41">
        <w:t xml:space="preserve"> if that was not described in Phase I or Phase II of the SSIP.</w:t>
      </w:r>
    </w:p>
    <w:p w14:paraId="3CA2802D" w14:textId="77777777" w:rsidR="009E3024" w:rsidRPr="00D77E41" w:rsidRDefault="009E3024" w:rsidP="009E3024">
      <w:pPr>
        <w:tabs>
          <w:tab w:val="left" w:pos="360"/>
        </w:tabs>
      </w:pPr>
      <w:r w:rsidRPr="00D77E41">
        <w:t>B</w:t>
      </w:r>
      <w:proofErr w:type="gramStart"/>
      <w:r>
        <w:t>.</w:t>
      </w:r>
      <w:r w:rsidRPr="00D77E41">
        <w:t xml:space="preserve"> </w:t>
      </w:r>
      <w:r>
        <w:tab/>
      </w:r>
      <w:r w:rsidRPr="00D77E41">
        <w:t>Phase</w:t>
      </w:r>
      <w:proofErr w:type="gramEnd"/>
      <w:r w:rsidRPr="00D77E41">
        <w:t xml:space="preserve"> III Implementation, Analysis and Evaluation</w:t>
      </w:r>
    </w:p>
    <w:p w14:paraId="411C0082" w14:textId="77777777"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rsidR="000550D9">
        <w:t>3</w:t>
      </w:r>
      <w:r w:rsidRPr="00D77E41">
        <w:t xml:space="preserve">, </w:t>
      </w:r>
      <w:r w:rsidR="00A54A87">
        <w:t>2025</w:t>
      </w:r>
      <w:r w:rsidRPr="00D77E41">
        <w:t xml:space="preserve">).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w:t>
      </w:r>
      <w:proofErr w:type="gramStart"/>
      <w:r w:rsidRPr="00D77E41">
        <w:t>support</w:t>
      </w:r>
      <w:proofErr w:type="gramEnd"/>
      <w:r w:rsidRPr="00D77E41">
        <w:t xml:space="preserve"> this decision.</w:t>
      </w:r>
    </w:p>
    <w:p w14:paraId="6A4C63F9" w14:textId="77777777"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D77E41">
        <w:t>SiMR</w:t>
      </w:r>
      <w:proofErr w:type="spellEnd"/>
      <w:r w:rsidRPr="00D77E41">
        <w:t xml:space="preserve">;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A54A87">
        <w:t>2024</w:t>
      </w:r>
      <w:r w:rsidR="00BC6E1E" w:rsidRPr="00D77E41">
        <w:t xml:space="preserve"> </w:t>
      </w:r>
      <w:r w:rsidRPr="00D77E41">
        <w:t xml:space="preserve">APR, report on anticipated outcomes to be obtained during FFY </w:t>
      </w:r>
      <w:r w:rsidR="00A54A87">
        <w:t>2025</w:t>
      </w:r>
      <w:r w:rsidRPr="00D77E41">
        <w:t xml:space="preserve">, i.e., July 1, </w:t>
      </w:r>
      <w:r w:rsidR="00A54A87">
        <w:t>2025</w:t>
      </w:r>
      <w:r w:rsidRPr="00D77E41">
        <w:t xml:space="preserve">-June 30, </w:t>
      </w:r>
      <w:r w:rsidR="00A54A87">
        <w:t>2026</w:t>
      </w:r>
      <w:r w:rsidRPr="00D77E41">
        <w:t>).</w:t>
      </w:r>
    </w:p>
    <w:p w14:paraId="0FA4451D" w14:textId="77777777"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D77E41">
        <w:t>SiMR</w:t>
      </w:r>
      <w:proofErr w:type="spellEnd"/>
      <w:r w:rsidRPr="00D77E41">
        <w:t xml:space="preserve"> by changing program/district policies, procedures, and/or practices, teacher/provider practices </w:t>
      </w:r>
      <w:bookmarkStart w:id="63"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w:t>
      </w:r>
      <w:r w:rsidRPr="00D77E41">
        <w:lastRenderedPageBreak/>
        <w:t>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3"/>
    </w:p>
    <w:p w14:paraId="2BFC3477" w14:textId="77777777" w:rsidR="009E3024" w:rsidRPr="00D77E41" w:rsidRDefault="009E3024" w:rsidP="009E3024">
      <w:pPr>
        <w:tabs>
          <w:tab w:val="left" w:pos="270"/>
        </w:tabs>
      </w:pPr>
      <w:r w:rsidRPr="00D77E41">
        <w:t>C</w:t>
      </w:r>
      <w:proofErr w:type="gramStart"/>
      <w:r>
        <w:t xml:space="preserve">. </w:t>
      </w:r>
      <w:r>
        <w:tab/>
      </w:r>
      <w:r w:rsidRPr="00D77E41">
        <w:t>Stakeholder</w:t>
      </w:r>
      <w:proofErr w:type="gramEnd"/>
      <w:r w:rsidRPr="00D77E41">
        <w:t xml:space="preserve"> Engagement</w:t>
      </w:r>
    </w:p>
    <w:p w14:paraId="0575854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08870303" w14:textId="77777777" w:rsidR="009E3024" w:rsidRPr="00D77E41" w:rsidRDefault="009E3024" w:rsidP="009E3024">
      <w:r w:rsidRPr="00D77E41">
        <w:t>Additional Implementation Activities</w:t>
      </w:r>
    </w:p>
    <w:p w14:paraId="3E8B3420" w14:textId="77777777" w:rsidR="009E3024" w:rsidRDefault="009E3024" w:rsidP="009E3024">
      <w:r w:rsidRPr="00D77E41">
        <w:t xml:space="preserve">The State should identify any activities not already described that it intends to implement in the next fiscal year (e.g., for the </w:t>
      </w:r>
      <w:r>
        <w:t xml:space="preserve">FFY </w:t>
      </w:r>
      <w:r w:rsidR="00A54A87">
        <w:t>2024</w:t>
      </w:r>
      <w:r w:rsidR="00B7212B" w:rsidRPr="00D77E41">
        <w:t xml:space="preserve"> </w:t>
      </w:r>
      <w:r w:rsidRPr="00D77E41">
        <w:t xml:space="preserve">APR, report on activities it intends to implement in FFY </w:t>
      </w:r>
      <w:r w:rsidR="00A54A87">
        <w:t>2025</w:t>
      </w:r>
      <w:r w:rsidRPr="00D77E41">
        <w:t xml:space="preserve">, i.e., July 1, </w:t>
      </w:r>
      <w:r w:rsidR="00A54A87">
        <w:t>2025</w:t>
      </w:r>
      <w:r w:rsidRPr="00D77E41">
        <w:t xml:space="preserve">-June 30, </w:t>
      </w:r>
      <w:r w:rsidR="00A54A87">
        <w:t>2026</w:t>
      </w:r>
      <w:r w:rsidRPr="00D77E41">
        <w:t xml:space="preserve">) including a timeline, anticipated data collection and measures, and expected outcomes that are related to the </w:t>
      </w:r>
      <w:proofErr w:type="spellStart"/>
      <w:r w:rsidRPr="00D77E41">
        <w:t>SiMR</w:t>
      </w:r>
      <w:proofErr w:type="spellEnd"/>
      <w:r w:rsidRPr="00D77E41">
        <w:t>. The State should describe any newly identified barriers and include steps to address these barriers.</w:t>
      </w:r>
    </w:p>
    <w:bookmarkEnd w:id="61"/>
    <w:p w14:paraId="7D5B85A4" w14:textId="77777777" w:rsidR="00F5460E" w:rsidRDefault="00F5460E" w:rsidP="00F5460E">
      <w:pPr>
        <w:pStyle w:val="Heading2"/>
      </w:pPr>
      <w:r w:rsidRPr="00A40EE1">
        <w:t>1</w:t>
      </w:r>
      <w:r>
        <w:t>1</w:t>
      </w:r>
      <w:r w:rsidRPr="00A40EE1">
        <w:t xml:space="preserve"> - </w:t>
      </w:r>
      <w:r w:rsidRPr="000A364E">
        <w:t>Indicator Data</w:t>
      </w:r>
    </w:p>
    <w:p w14:paraId="3B22D280" w14:textId="77777777" w:rsidR="00741E58" w:rsidRPr="00F85A5B" w:rsidRDefault="00741E58" w:rsidP="00741E58">
      <w:pPr>
        <w:rPr>
          <w:b/>
          <w:bCs/>
        </w:rPr>
      </w:pPr>
      <w:r w:rsidRPr="00F85A5B">
        <w:rPr>
          <w:b/>
          <w:bCs/>
        </w:rPr>
        <w:t>Section A: Data Analysis</w:t>
      </w:r>
    </w:p>
    <w:p w14:paraId="41F23DF5" w14:textId="77777777" w:rsidR="00F5460E" w:rsidRDefault="00741E58" w:rsidP="00741E58">
      <w:pPr>
        <w:rPr>
          <w:b/>
          <w:bCs/>
        </w:rPr>
      </w:pPr>
      <w:r w:rsidRPr="00F85A5B">
        <w:rPr>
          <w:b/>
          <w:bCs/>
        </w:rPr>
        <w:t>What is the State-identified Measurable Result (</w:t>
      </w:r>
      <w:proofErr w:type="spellStart"/>
      <w:r w:rsidRPr="00F85A5B">
        <w:rPr>
          <w:b/>
          <w:bCs/>
        </w:rPr>
        <w:t>SiMR</w:t>
      </w:r>
      <w:proofErr w:type="spellEnd"/>
      <w:r w:rsidRPr="00F85A5B">
        <w:rPr>
          <w:b/>
          <w:bCs/>
        </w:rPr>
        <w:t>)?</w:t>
      </w:r>
    </w:p>
    <w:p w14:paraId="053FC875" w14:textId="77777777" w:rsidR="008517CB" w:rsidRPr="00F85A5B" w:rsidRDefault="008517CB" w:rsidP="00741E58">
      <w:pPr>
        <w:rPr>
          <w:color w:val="000000" w:themeColor="text1"/>
        </w:rPr>
      </w:pPr>
      <w:r w:rsidRPr="00ED172B">
        <w:rPr>
          <w:color w:val="000000" w:themeColor="text1"/>
        </w:rPr>
        <w:t xml:space="preserve">The </w:t>
      </w:r>
      <w:proofErr w:type="gramStart"/>
      <w:r w:rsidRPr="00ED172B">
        <w:rPr>
          <w:color w:val="000000" w:themeColor="text1"/>
        </w:rPr>
        <w:t>percent</w:t>
      </w:r>
      <w:proofErr w:type="gramEnd"/>
      <w:r w:rsidRPr="00ED172B">
        <w:rPr>
          <w:color w:val="000000" w:themeColor="text1"/>
        </w:rPr>
        <w:t xml:space="preserve"> of infants and toddlers who demonstrate improved acquisition and use of knowledge and skills and who function within age expectations by the time they exit or turn age three will increase [ECO Outcome 3B, Summary Statement 2] </w:t>
      </w:r>
    </w:p>
    <w:p w14:paraId="7AF9EBEB" w14:textId="77777777" w:rsidR="008517CB" w:rsidRDefault="008517CB" w:rsidP="008517CB">
      <w:pPr>
        <w:rPr>
          <w:b/>
          <w:bCs/>
        </w:rPr>
      </w:pPr>
      <w:r w:rsidRPr="008517CB">
        <w:rPr>
          <w:b/>
          <w:bCs/>
        </w:rPr>
        <w:t xml:space="preserve">Has the </w:t>
      </w:r>
      <w:proofErr w:type="spellStart"/>
      <w:r w:rsidRPr="008517CB">
        <w:rPr>
          <w:b/>
          <w:bCs/>
        </w:rPr>
        <w:t>SiMR</w:t>
      </w:r>
      <w:proofErr w:type="spellEnd"/>
      <w:r w:rsidRPr="008517CB">
        <w:rPr>
          <w:b/>
          <w:bCs/>
        </w:rPr>
        <w:t xml:space="preserve"> changed since the last SSIP submission? (yes/no)</w:t>
      </w:r>
    </w:p>
    <w:p w14:paraId="60DC9825" w14:textId="77777777" w:rsidR="001C46CD" w:rsidRPr="000123EB" w:rsidRDefault="001C46CD" w:rsidP="008517CB">
      <w:r w:rsidRPr="000123EB">
        <w:t>NO</w:t>
      </w:r>
    </w:p>
    <w:p w14:paraId="09C5B45D" w14:textId="77777777" w:rsidR="00E46F5E" w:rsidRDefault="00E46F5E" w:rsidP="008517CB">
      <w:pPr>
        <w:rPr>
          <w:b/>
          <w:bCs/>
        </w:rPr>
      </w:pPr>
    </w:p>
    <w:p w14:paraId="00A4FD00" w14:textId="77777777" w:rsidR="008517CB" w:rsidRDefault="008517CB" w:rsidP="008517CB">
      <w:pPr>
        <w:rPr>
          <w:b/>
          <w:bCs/>
        </w:rPr>
      </w:pPr>
      <w:bookmarkStart w:id="64"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64"/>
    <w:p w14:paraId="548A98BA" w14:textId="77777777" w:rsidR="00E46F5E" w:rsidRPr="000123EB" w:rsidRDefault="00E46F5E" w:rsidP="008517CB">
      <w:pPr>
        <w:rPr>
          <w:color w:val="000000" w:themeColor="text1"/>
        </w:rPr>
      </w:pPr>
      <w:r w:rsidRPr="000123EB">
        <w:rPr>
          <w:color w:val="000000" w:themeColor="text1"/>
        </w:rPr>
        <w:t>NO</w:t>
      </w:r>
    </w:p>
    <w:p w14:paraId="64120C75" w14:textId="77777777" w:rsidR="00E46F5E" w:rsidRPr="008517CB" w:rsidRDefault="00E46F5E" w:rsidP="008517CB">
      <w:pPr>
        <w:rPr>
          <w:b/>
          <w:bCs/>
        </w:rPr>
      </w:pPr>
    </w:p>
    <w:p w14:paraId="2374D799" w14:textId="77777777" w:rsidR="00A5616C" w:rsidRDefault="00A5616C" w:rsidP="00A5616C">
      <w:pPr>
        <w:rPr>
          <w:b/>
          <w:bCs/>
        </w:rPr>
      </w:pPr>
      <w:bookmarkStart w:id="65" w:name="_Hlk109646832"/>
      <w:r w:rsidRPr="00A5616C">
        <w:rPr>
          <w:b/>
          <w:bCs/>
        </w:rPr>
        <w:t>Is the State’s theory of action new or revised since the previous submission? (yes/no)</w:t>
      </w:r>
    </w:p>
    <w:bookmarkEnd w:id="65"/>
    <w:p w14:paraId="547FBC0F" w14:textId="77777777" w:rsidR="00A5616C" w:rsidRPr="000123EB" w:rsidRDefault="00A5616C" w:rsidP="00A5616C">
      <w:r w:rsidRPr="000123EB">
        <w:t>NO</w:t>
      </w:r>
    </w:p>
    <w:p w14:paraId="435E5D1F" w14:textId="77777777" w:rsidR="00305E79" w:rsidRPr="00305E79" w:rsidRDefault="00305E79" w:rsidP="00305E79">
      <w:pPr>
        <w:rPr>
          <w:rFonts w:cs="Arial"/>
          <w:b/>
          <w:bCs/>
          <w:szCs w:val="16"/>
        </w:rPr>
      </w:pPr>
      <w:r w:rsidRPr="0055373D">
        <w:rPr>
          <w:rFonts w:cs="Arial"/>
          <w:b/>
          <w:bCs/>
          <w:szCs w:val="16"/>
        </w:rPr>
        <w:t>Please provide a link to the current theory of action.</w:t>
      </w:r>
    </w:p>
    <w:p w14:paraId="162747A7" w14:textId="77777777" w:rsidR="00305E79" w:rsidRPr="00F85A5B" w:rsidRDefault="00305E79" w:rsidP="00305E79">
      <w:r w:rsidRPr="00FD59F0">
        <w:t>https://www.tn.gov/content/dam/tn/disability-and-aging/documents/disability-aging-programs/teis/ssip-2022-2025-(updated-10.27.25)-ada-accessible.pdf</w:t>
      </w:r>
    </w:p>
    <w:p w14:paraId="7BF49FE4" w14:textId="77777777" w:rsidR="006A3544" w:rsidRDefault="006A3544" w:rsidP="008517CB">
      <w:pPr>
        <w:rPr>
          <w:b/>
          <w:bCs/>
        </w:rPr>
      </w:pPr>
    </w:p>
    <w:p w14:paraId="72A6DFF1" w14:textId="77777777" w:rsidR="00A3455E" w:rsidRDefault="00A3455E" w:rsidP="00A3455E">
      <w:pPr>
        <w:pStyle w:val="Subhed"/>
      </w:pPr>
      <w:bookmarkStart w:id="66" w:name="_Hlk109646858"/>
      <w:r w:rsidRPr="000315F0">
        <w:t xml:space="preserve">Progress toward the </w:t>
      </w:r>
      <w:proofErr w:type="spellStart"/>
      <w:r w:rsidRPr="000315F0">
        <w:t>SiMR</w:t>
      </w:r>
      <w:proofErr w:type="spellEnd"/>
    </w:p>
    <w:p w14:paraId="06EA12F8" w14:textId="77777777"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5CE675A8" w14:textId="77777777" w:rsidR="00A3455E" w:rsidRDefault="00A3455E" w:rsidP="00741E58">
      <w:pPr>
        <w:rPr>
          <w:b/>
          <w:bCs/>
        </w:rPr>
      </w:pPr>
      <w:r w:rsidRPr="00A3455E">
        <w:rPr>
          <w:b/>
          <w:bCs/>
        </w:rPr>
        <w:t>Select yes if the State uses two targets for measurement. (yes/no)</w:t>
      </w:r>
    </w:p>
    <w:bookmarkEnd w:id="66"/>
    <w:p w14:paraId="103C8567" w14:textId="77777777" w:rsidR="00C00467" w:rsidRPr="000123EB" w:rsidRDefault="00935B33" w:rsidP="00741E58">
      <w:r w:rsidRPr="000123EB">
        <w:t>NO</w:t>
      </w:r>
    </w:p>
    <w:p w14:paraId="7CD66BF3" w14:textId="77777777" w:rsidR="00C83574" w:rsidRDefault="00C83574" w:rsidP="00C83574">
      <w:pPr>
        <w:rPr>
          <w:rFonts w:cs="Arial"/>
          <w:b/>
          <w:color w:val="000000" w:themeColor="text1"/>
          <w:szCs w:val="16"/>
        </w:rPr>
      </w:pPr>
      <w:r w:rsidRPr="00ED172B">
        <w:rPr>
          <w:rFonts w:cs="Arial"/>
          <w:b/>
          <w:color w:val="000000" w:themeColor="text1"/>
          <w:szCs w:val="16"/>
        </w:rPr>
        <w:t>Historical Data</w:t>
      </w:r>
    </w:p>
    <w:p w14:paraId="48F83792" w14:textId="77777777" w:rsidR="00C83574" w:rsidRDefault="00C83574" w:rsidP="00C83574">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BASELINEDATA"/>
      </w:tblPr>
      <w:tblGrid>
        <w:gridCol w:w="1788"/>
        <w:gridCol w:w="1898"/>
      </w:tblGrid>
      <w:tr w:rsidR="008C5AD3" w:rsidRPr="00ED172B" w14:paraId="7C90E2B0" w14:textId="77777777">
        <w:trPr>
          <w:trHeight w:val="350"/>
          <w:tblHeader/>
        </w:trPr>
        <w:tc>
          <w:tcPr>
            <w:tcW w:w="2425" w:type="pct"/>
            <w:tcBorders>
              <w:bottom w:val="single" w:sz="4" w:space="0" w:color="auto"/>
            </w:tcBorders>
            <w:vAlign w:val="center"/>
          </w:tcPr>
          <w:p w14:paraId="7578C443" w14:textId="77777777" w:rsidR="008C5AD3" w:rsidRPr="001071FD" w:rsidRDefault="008C5AD3" w:rsidP="0082735C">
            <w:pPr>
              <w:jc w:val="center"/>
              <w:rPr>
                <w:b/>
                <w:bCs/>
                <w:color w:val="000000" w:themeColor="text1"/>
              </w:rPr>
            </w:pPr>
            <w:r>
              <w:rPr>
                <w:b/>
                <w:bCs/>
                <w:color w:val="000000" w:themeColor="text1"/>
              </w:rPr>
              <w:t>Baseline Year</w:t>
            </w:r>
          </w:p>
        </w:tc>
        <w:tc>
          <w:tcPr>
            <w:tcW w:w="2575" w:type="pct"/>
            <w:vAlign w:val="center"/>
          </w:tcPr>
          <w:p w14:paraId="350E3195" w14:textId="77777777" w:rsidR="008C5AD3" w:rsidRPr="001071FD" w:rsidRDefault="008C5AD3" w:rsidP="0082735C">
            <w:pPr>
              <w:jc w:val="center"/>
              <w:rPr>
                <w:b/>
                <w:bCs/>
                <w:color w:val="000000" w:themeColor="text1"/>
              </w:rPr>
            </w:pPr>
            <w:r w:rsidRPr="001071FD">
              <w:rPr>
                <w:b/>
                <w:bCs/>
                <w:color w:val="000000" w:themeColor="text1"/>
              </w:rPr>
              <w:t>Baseline Data</w:t>
            </w:r>
          </w:p>
        </w:tc>
      </w:tr>
      <w:tr w:rsidR="008C5AD3" w:rsidRPr="00ED172B" w14:paraId="56EC207D" w14:textId="77777777">
        <w:trPr>
          <w:trHeight w:val="350"/>
        </w:trPr>
        <w:tc>
          <w:tcPr>
            <w:tcW w:w="2425" w:type="pct"/>
            <w:tcBorders>
              <w:bottom w:val="single" w:sz="4" w:space="0" w:color="auto"/>
            </w:tcBorders>
          </w:tcPr>
          <w:p w14:paraId="5D5577AA" w14:textId="77777777" w:rsidR="008C5AD3" w:rsidRPr="00ED172B" w:rsidRDefault="008C5AD3" w:rsidP="0082735C">
            <w:pPr>
              <w:jc w:val="center"/>
              <w:rPr>
                <w:b/>
                <w:color w:val="000000" w:themeColor="text1"/>
              </w:rPr>
            </w:pPr>
            <w:r w:rsidRPr="00ED172B">
              <w:rPr>
                <w:color w:val="000000" w:themeColor="text1"/>
              </w:rPr>
              <w:t>2022</w:t>
            </w:r>
          </w:p>
        </w:tc>
        <w:tc>
          <w:tcPr>
            <w:tcW w:w="2575" w:type="pct"/>
            <w:vAlign w:val="center"/>
          </w:tcPr>
          <w:p w14:paraId="32DCAD2B" w14:textId="77777777" w:rsidR="008C5AD3" w:rsidRPr="00ED172B" w:rsidRDefault="008C5AD3" w:rsidP="0082735C">
            <w:pPr>
              <w:jc w:val="center"/>
              <w:rPr>
                <w:color w:val="000000" w:themeColor="text1"/>
              </w:rPr>
            </w:pPr>
            <w:r w:rsidRPr="00ED172B">
              <w:rPr>
                <w:color w:val="000000" w:themeColor="text1"/>
              </w:rPr>
              <w:t>35.42%</w:t>
            </w:r>
          </w:p>
        </w:tc>
      </w:tr>
    </w:tbl>
    <w:p w14:paraId="3BA73B65" w14:textId="77777777" w:rsidR="00C83574" w:rsidRDefault="00C83574" w:rsidP="00E7729E">
      <w:pPr>
        <w:rPr>
          <w:b/>
          <w:color w:val="000000" w:themeColor="text1"/>
        </w:rPr>
      </w:pPr>
    </w:p>
    <w:p w14:paraId="199E5F52" w14:textId="77777777" w:rsidR="00C83574" w:rsidRDefault="00C83574" w:rsidP="00E7729E">
      <w:pPr>
        <w:rPr>
          <w:b/>
          <w:color w:val="000000" w:themeColor="text1"/>
        </w:rPr>
      </w:pPr>
    </w:p>
    <w:p w14:paraId="6BBB8728" w14:textId="77777777" w:rsidR="00C00467" w:rsidRDefault="00C00467" w:rsidP="00E7729E">
      <w:pPr>
        <w:rPr>
          <w:b/>
          <w:color w:val="000000" w:themeColor="text1"/>
        </w:rPr>
      </w:pPr>
    </w:p>
    <w:p w14:paraId="143CF67B" w14:textId="77777777" w:rsidR="00C00467" w:rsidRDefault="00C00467" w:rsidP="00E7729E">
      <w:pPr>
        <w:rPr>
          <w:b/>
          <w:color w:val="000000" w:themeColor="text1"/>
        </w:rPr>
      </w:pPr>
    </w:p>
    <w:p w14:paraId="01C8845C" w14:textId="77777777" w:rsidR="00C00467" w:rsidRDefault="00C00467" w:rsidP="00E7729E">
      <w:pPr>
        <w:rPr>
          <w:b/>
          <w:color w:val="000000" w:themeColor="text1"/>
        </w:rPr>
      </w:pPr>
    </w:p>
    <w:p w14:paraId="048A6F54" w14:textId="77777777" w:rsidR="00C00467" w:rsidRDefault="00C00467" w:rsidP="00E7729E">
      <w:pPr>
        <w:rPr>
          <w:b/>
          <w:color w:val="000000" w:themeColor="text1"/>
        </w:rPr>
      </w:pPr>
    </w:p>
    <w:p w14:paraId="4DDD9BF2" w14:textId="77777777" w:rsidR="00E7729E" w:rsidRPr="00ED172B" w:rsidRDefault="00E7729E" w:rsidP="00E7729E">
      <w:pPr>
        <w:rPr>
          <w:color w:val="000000" w:themeColor="text1"/>
        </w:rPr>
      </w:pPr>
      <w:r w:rsidRPr="00A10714">
        <w:rPr>
          <w:b/>
          <w:color w:val="000000" w:themeColor="text1"/>
        </w:rPr>
        <w:t>Targets</w:t>
      </w:r>
    </w:p>
    <w:tbl>
      <w:tblPr>
        <w:tblW w:w="3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TARGETS"/>
      </w:tblPr>
      <w:tblGrid>
        <w:gridCol w:w="679"/>
        <w:gridCol w:w="2346"/>
        <w:gridCol w:w="2469"/>
        <w:gridCol w:w="2648"/>
      </w:tblGrid>
      <w:tr w:rsidR="00CF59E2" w:rsidRPr="00ED172B" w14:paraId="10AEB8C0" w14:textId="77777777" w:rsidTr="00811738">
        <w:trPr>
          <w:trHeight w:val="360"/>
        </w:trPr>
        <w:tc>
          <w:tcPr>
            <w:tcW w:w="416" w:type="pct"/>
            <w:tcBorders>
              <w:bottom w:val="single" w:sz="4" w:space="0" w:color="auto"/>
            </w:tcBorders>
          </w:tcPr>
          <w:p w14:paraId="49B466C0" w14:textId="77777777" w:rsidR="00CF59E2" w:rsidRPr="00ED172B" w:rsidRDefault="00CF59E2" w:rsidP="0082735C">
            <w:pPr>
              <w:jc w:val="center"/>
              <w:rPr>
                <w:b/>
                <w:color w:val="000000" w:themeColor="text1"/>
              </w:rPr>
            </w:pPr>
            <w:r w:rsidRPr="00ED172B">
              <w:rPr>
                <w:b/>
                <w:color w:val="000000" w:themeColor="text1"/>
              </w:rPr>
              <w:t>FFY</w:t>
            </w:r>
          </w:p>
        </w:tc>
        <w:tc>
          <w:tcPr>
            <w:tcW w:w="1441" w:type="pct"/>
          </w:tcPr>
          <w:p w14:paraId="28D6A81F" w14:textId="77777777" w:rsidR="00CF59E2" w:rsidRPr="00ED172B" w:rsidRDefault="00CF59E2" w:rsidP="0082735C">
            <w:pPr>
              <w:jc w:val="center"/>
              <w:rPr>
                <w:b/>
                <w:color w:val="000000" w:themeColor="text1"/>
              </w:rPr>
            </w:pPr>
            <w:r w:rsidRPr="00B67020">
              <w:rPr>
                <w:b/>
                <w:color w:val="000000" w:themeColor="text1"/>
              </w:rPr>
              <w:t>Current Relationship</w:t>
            </w:r>
          </w:p>
        </w:tc>
        <w:tc>
          <w:tcPr>
            <w:tcW w:w="1517" w:type="pct"/>
            <w:vAlign w:val="center"/>
          </w:tcPr>
          <w:p w14:paraId="4DFC74F8" w14:textId="77777777" w:rsidR="00CF59E2" w:rsidRPr="00ED172B" w:rsidRDefault="00CF59E2" w:rsidP="0082735C">
            <w:pPr>
              <w:jc w:val="center"/>
              <w:rPr>
                <w:b/>
                <w:color w:val="000000" w:themeColor="text1"/>
              </w:rPr>
            </w:pPr>
            <w:r w:rsidRPr="00ED172B">
              <w:rPr>
                <w:b/>
                <w:color w:val="000000" w:themeColor="text1"/>
              </w:rPr>
              <w:t>2024</w:t>
            </w:r>
          </w:p>
        </w:tc>
        <w:tc>
          <w:tcPr>
            <w:tcW w:w="1626" w:type="pct"/>
          </w:tcPr>
          <w:p w14:paraId="69202169" w14:textId="77777777" w:rsidR="00CF59E2" w:rsidRPr="00ED172B" w:rsidRDefault="00CF59E2" w:rsidP="0082735C">
            <w:pPr>
              <w:jc w:val="center"/>
              <w:rPr>
                <w:b/>
                <w:color w:val="000000" w:themeColor="text1"/>
              </w:rPr>
            </w:pPr>
            <w:r>
              <w:rPr>
                <w:rFonts w:cs="Arial"/>
                <w:b/>
                <w:color w:val="000000" w:themeColor="text1"/>
                <w:szCs w:val="16"/>
              </w:rPr>
              <w:t>2025</w:t>
            </w:r>
          </w:p>
        </w:tc>
      </w:tr>
      <w:tr w:rsidR="00CF59E2" w:rsidRPr="00ED172B" w14:paraId="6F86E824" w14:textId="77777777" w:rsidTr="00811738">
        <w:trPr>
          <w:trHeight w:val="367"/>
        </w:trPr>
        <w:tc>
          <w:tcPr>
            <w:tcW w:w="416" w:type="pct"/>
          </w:tcPr>
          <w:p w14:paraId="19F25E0B" w14:textId="77777777" w:rsidR="00CF59E2" w:rsidRPr="00ED172B" w:rsidRDefault="00CF59E2" w:rsidP="00D21F29">
            <w:pPr>
              <w:jc w:val="center"/>
              <w:rPr>
                <w:rFonts w:cs="Arial"/>
                <w:color w:val="000000" w:themeColor="text1"/>
                <w:szCs w:val="16"/>
              </w:rPr>
            </w:pPr>
            <w:r w:rsidRPr="00ED172B">
              <w:rPr>
                <w:rFonts w:cs="Arial"/>
                <w:color w:val="000000" w:themeColor="text1"/>
                <w:szCs w:val="16"/>
              </w:rPr>
              <w:t>Target</w:t>
            </w:r>
          </w:p>
        </w:tc>
        <w:tc>
          <w:tcPr>
            <w:tcW w:w="1441" w:type="pct"/>
          </w:tcPr>
          <w:p w14:paraId="020E79A2" w14:textId="77777777" w:rsidR="00CF59E2" w:rsidRPr="00ED172B" w:rsidRDefault="00CF59E2" w:rsidP="0082735C">
            <w:pPr>
              <w:jc w:val="center"/>
              <w:rPr>
                <w:color w:val="000000" w:themeColor="text1"/>
              </w:rPr>
            </w:pPr>
            <w:r w:rsidRPr="00B67020">
              <w:rPr>
                <w:color w:val="000000" w:themeColor="text1"/>
              </w:rPr>
              <w:t>Data must be greater than or equal to the target</w:t>
            </w:r>
          </w:p>
        </w:tc>
        <w:tc>
          <w:tcPr>
            <w:tcW w:w="1517" w:type="pct"/>
            <w:vAlign w:val="center"/>
          </w:tcPr>
          <w:p w14:paraId="005CE0B8" w14:textId="77777777" w:rsidR="00CF59E2" w:rsidRPr="00ED172B" w:rsidRDefault="00CF59E2" w:rsidP="0082735C">
            <w:pPr>
              <w:jc w:val="center"/>
              <w:rPr>
                <w:color w:val="000000" w:themeColor="text1"/>
              </w:rPr>
            </w:pPr>
            <w:r w:rsidRPr="00ED172B">
              <w:rPr>
                <w:color w:val="000000" w:themeColor="text1"/>
              </w:rPr>
              <w:t>34.00%</w:t>
            </w:r>
          </w:p>
        </w:tc>
        <w:tc>
          <w:tcPr>
            <w:tcW w:w="1626" w:type="pct"/>
          </w:tcPr>
          <w:p w14:paraId="0625B46A" w14:textId="77777777" w:rsidR="00CF59E2" w:rsidRPr="00ED172B" w:rsidRDefault="00CF59E2" w:rsidP="0082735C">
            <w:pPr>
              <w:jc w:val="center"/>
              <w:rPr>
                <w:color w:val="000000" w:themeColor="text1"/>
              </w:rPr>
            </w:pPr>
            <w:r>
              <w:rPr>
                <w:rFonts w:cs="Arial"/>
                <w:color w:val="000000" w:themeColor="text1"/>
                <w:szCs w:val="16"/>
              </w:rPr>
              <w:t>34.00%</w:t>
            </w:r>
          </w:p>
        </w:tc>
      </w:tr>
    </w:tbl>
    <w:p w14:paraId="2584B263" w14:textId="77777777" w:rsidR="008C5AD3" w:rsidRPr="00ED172B" w:rsidRDefault="008C5AD3" w:rsidP="008C5AD3">
      <w:pPr>
        <w:pStyle w:val="Italic"/>
        <w:rPr>
          <w:rFonts w:cs="Arial"/>
          <w:i w:val="0"/>
          <w:color w:val="000000" w:themeColor="text1"/>
          <w:szCs w:val="16"/>
        </w:rPr>
      </w:pPr>
    </w:p>
    <w:p w14:paraId="6EBC481E" w14:textId="77777777" w:rsidR="005A3EDC" w:rsidRPr="00ED172B" w:rsidRDefault="005A3EDC" w:rsidP="005A3EDC">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005A3EDC" w:rsidRPr="00ED172B" w14:paraId="2B20834A" w14:textId="77777777" w:rsidTr="009C4033">
        <w:trPr>
          <w:trHeight w:val="354"/>
        </w:trPr>
        <w:tc>
          <w:tcPr>
            <w:tcW w:w="1165" w:type="pct"/>
            <w:vAlign w:val="bottom"/>
          </w:tcPr>
          <w:p w14:paraId="4827A407" w14:textId="77777777" w:rsidR="005A3EDC" w:rsidRPr="00ED172B" w:rsidRDefault="005E3DB9" w:rsidP="0082735C">
            <w:pPr>
              <w:jc w:val="center"/>
              <w:rPr>
                <w:b/>
                <w:color w:val="000000" w:themeColor="text1"/>
                <w:szCs w:val="16"/>
              </w:rPr>
            </w:pPr>
            <w:r w:rsidRPr="00ED172B">
              <w:rPr>
                <w:color w:val="000000" w:themeColor="text1"/>
                <w:szCs w:val="16"/>
              </w:rPr>
              <w:t xml:space="preserve">The </w:t>
            </w:r>
            <w:proofErr w:type="gramStart"/>
            <w:r w:rsidRPr="00ED172B">
              <w:rPr>
                <w:color w:val="000000" w:themeColor="text1"/>
                <w:szCs w:val="16"/>
              </w:rPr>
              <w:t>percent</w:t>
            </w:r>
            <w:proofErr w:type="gramEnd"/>
            <w:r w:rsidRPr="00ED172B">
              <w:rPr>
                <w:color w:val="000000" w:themeColor="text1"/>
                <w:szCs w:val="16"/>
              </w:rPr>
              <w:t xml:space="preserve"> of children who were functioning within age expectations in ECO Outcome B by the time they turned 3 or exited the program (Outcome B; progress categories </w:t>
            </w:r>
            <w:proofErr w:type="spellStart"/>
            <w:r w:rsidRPr="00ED172B">
              <w:rPr>
                <w:color w:val="000000" w:themeColor="text1"/>
                <w:szCs w:val="16"/>
              </w:rPr>
              <w:t>d+e</w:t>
            </w:r>
            <w:proofErr w:type="spellEnd"/>
            <w:r w:rsidRPr="00ED172B">
              <w:rPr>
                <w:color w:val="000000" w:themeColor="text1"/>
                <w:szCs w:val="16"/>
              </w:rPr>
              <w:t xml:space="preserve">) </w:t>
            </w:r>
          </w:p>
        </w:tc>
        <w:tc>
          <w:tcPr>
            <w:tcW w:w="876" w:type="pct"/>
            <w:vAlign w:val="bottom"/>
          </w:tcPr>
          <w:p w14:paraId="33CC8792" w14:textId="77777777" w:rsidR="005A3EDC" w:rsidRPr="00ED172B" w:rsidRDefault="005E3DB9" w:rsidP="0082735C">
            <w:pPr>
              <w:jc w:val="center"/>
              <w:rPr>
                <w:b/>
                <w:color w:val="000000" w:themeColor="text1"/>
                <w:szCs w:val="16"/>
              </w:rPr>
            </w:pPr>
            <w:r w:rsidRPr="00ED172B">
              <w:rPr>
                <w:color w:val="000000" w:themeColor="text1"/>
                <w:szCs w:val="16"/>
              </w:rPr>
              <w:t xml:space="preserve">All children who exited with at least six months of services in FFY </w:t>
            </w:r>
            <w:proofErr w:type="gramStart"/>
            <w:r w:rsidRPr="00ED172B">
              <w:rPr>
                <w:color w:val="000000" w:themeColor="text1"/>
                <w:szCs w:val="16"/>
              </w:rPr>
              <w:t>2023 who</w:t>
            </w:r>
            <w:proofErr w:type="gramEnd"/>
            <w:r w:rsidRPr="00ED172B">
              <w:rPr>
                <w:color w:val="000000" w:themeColor="text1"/>
                <w:szCs w:val="16"/>
              </w:rPr>
              <w:t xml:space="preserve"> had both entrance and exit ECO ratings in Outcome B (Outcome B; progress categories (a) + (b) + (c) + (d) + (e) times 100. </w:t>
            </w:r>
          </w:p>
        </w:tc>
        <w:tc>
          <w:tcPr>
            <w:tcW w:w="667" w:type="pct"/>
            <w:vAlign w:val="bottom"/>
          </w:tcPr>
          <w:p w14:paraId="4879BC83" w14:textId="77777777" w:rsidR="005A3EDC" w:rsidRPr="00ED172B" w:rsidRDefault="005A3EDC" w:rsidP="0082735C">
            <w:pPr>
              <w:jc w:val="center"/>
              <w:rPr>
                <w:b/>
                <w:color w:val="000000" w:themeColor="text1"/>
                <w:szCs w:val="16"/>
              </w:rPr>
            </w:pPr>
            <w:r>
              <w:rPr>
                <w:rFonts w:cs="Arial"/>
                <w:b/>
                <w:color w:val="000000" w:themeColor="text1"/>
                <w:szCs w:val="16"/>
              </w:rPr>
              <w:t>FFY 2023 Data</w:t>
            </w:r>
          </w:p>
        </w:tc>
        <w:tc>
          <w:tcPr>
            <w:tcW w:w="626" w:type="pct"/>
            <w:vAlign w:val="bottom"/>
          </w:tcPr>
          <w:p w14:paraId="0141CA94" w14:textId="77777777" w:rsidR="005A3EDC" w:rsidRPr="00ED172B" w:rsidRDefault="005A3EDC" w:rsidP="0082735C">
            <w:pPr>
              <w:jc w:val="center"/>
              <w:rPr>
                <w:b/>
                <w:color w:val="000000" w:themeColor="text1"/>
                <w:szCs w:val="16"/>
              </w:rPr>
            </w:pPr>
            <w:r>
              <w:rPr>
                <w:rFonts w:cs="Arial"/>
                <w:b/>
                <w:color w:val="000000" w:themeColor="text1"/>
                <w:szCs w:val="16"/>
              </w:rPr>
              <w:t>FFY 2024 Target</w:t>
            </w:r>
          </w:p>
        </w:tc>
        <w:tc>
          <w:tcPr>
            <w:tcW w:w="584" w:type="pct"/>
            <w:vAlign w:val="bottom"/>
          </w:tcPr>
          <w:p w14:paraId="54055333" w14:textId="77777777" w:rsidR="005A3EDC" w:rsidRPr="00ED172B" w:rsidRDefault="005A3EDC" w:rsidP="0082735C">
            <w:pPr>
              <w:jc w:val="center"/>
              <w:rPr>
                <w:b/>
                <w:color w:val="000000" w:themeColor="text1"/>
                <w:szCs w:val="16"/>
              </w:rPr>
            </w:pPr>
            <w:r>
              <w:rPr>
                <w:rFonts w:cs="Arial"/>
                <w:b/>
                <w:color w:val="000000" w:themeColor="text1"/>
                <w:szCs w:val="16"/>
              </w:rPr>
              <w:t>FFY 2024 Data</w:t>
            </w:r>
          </w:p>
        </w:tc>
        <w:tc>
          <w:tcPr>
            <w:tcW w:w="584" w:type="pct"/>
            <w:vAlign w:val="bottom"/>
          </w:tcPr>
          <w:p w14:paraId="6B55B7A6" w14:textId="77777777" w:rsidR="005A3EDC" w:rsidRPr="00ED172B" w:rsidRDefault="005A3EDC" w:rsidP="0082735C">
            <w:pPr>
              <w:jc w:val="center"/>
              <w:rPr>
                <w:b/>
                <w:color w:val="000000" w:themeColor="text1"/>
                <w:szCs w:val="16"/>
              </w:rPr>
            </w:pPr>
            <w:r w:rsidRPr="00ED172B">
              <w:rPr>
                <w:b/>
                <w:color w:val="000000" w:themeColor="text1"/>
                <w:szCs w:val="16"/>
              </w:rPr>
              <w:t>Status</w:t>
            </w:r>
          </w:p>
        </w:tc>
        <w:tc>
          <w:tcPr>
            <w:tcW w:w="498" w:type="pct"/>
            <w:vAlign w:val="bottom"/>
          </w:tcPr>
          <w:p w14:paraId="527344BA" w14:textId="77777777" w:rsidR="005A3EDC" w:rsidRPr="00ED172B" w:rsidRDefault="005A3EDC" w:rsidP="0082735C">
            <w:pPr>
              <w:jc w:val="center"/>
              <w:rPr>
                <w:b/>
                <w:color w:val="000000" w:themeColor="text1"/>
                <w:szCs w:val="16"/>
              </w:rPr>
            </w:pPr>
            <w:r w:rsidRPr="00ED172B">
              <w:rPr>
                <w:b/>
                <w:color w:val="000000" w:themeColor="text1"/>
                <w:szCs w:val="16"/>
              </w:rPr>
              <w:t>Slippage</w:t>
            </w:r>
          </w:p>
        </w:tc>
      </w:tr>
      <w:tr w:rsidR="005A3EDC" w:rsidRPr="00ED172B" w14:paraId="7437486C" w14:textId="77777777" w:rsidTr="009C4033">
        <w:trPr>
          <w:trHeight w:val="287"/>
        </w:trPr>
        <w:tc>
          <w:tcPr>
            <w:tcW w:w="1165" w:type="pct"/>
            <w:vAlign w:val="center"/>
          </w:tcPr>
          <w:p w14:paraId="1959810E" w14:textId="77777777" w:rsidR="005A3EDC" w:rsidRPr="00ED172B" w:rsidRDefault="005A3EDC" w:rsidP="0082735C">
            <w:pPr>
              <w:jc w:val="center"/>
              <w:rPr>
                <w:color w:val="000000" w:themeColor="text1"/>
                <w:szCs w:val="16"/>
              </w:rPr>
            </w:pPr>
            <w:r w:rsidRPr="00ED172B">
              <w:rPr>
                <w:color w:val="000000" w:themeColor="text1"/>
                <w:szCs w:val="16"/>
              </w:rPr>
              <w:t>3,271</w:t>
            </w:r>
          </w:p>
        </w:tc>
        <w:tc>
          <w:tcPr>
            <w:tcW w:w="876" w:type="pct"/>
            <w:vAlign w:val="center"/>
          </w:tcPr>
          <w:p w14:paraId="19B8C164" w14:textId="77777777" w:rsidR="005A3EDC" w:rsidRPr="00ED172B" w:rsidRDefault="005A3EDC" w:rsidP="0082735C">
            <w:pPr>
              <w:jc w:val="center"/>
              <w:rPr>
                <w:color w:val="000000" w:themeColor="text1"/>
                <w:szCs w:val="16"/>
              </w:rPr>
            </w:pPr>
            <w:r w:rsidRPr="00ED172B">
              <w:rPr>
                <w:color w:val="000000" w:themeColor="text1"/>
                <w:szCs w:val="16"/>
              </w:rPr>
              <w:t>7,155</w:t>
            </w:r>
          </w:p>
        </w:tc>
        <w:tc>
          <w:tcPr>
            <w:tcW w:w="667" w:type="pct"/>
          </w:tcPr>
          <w:p w14:paraId="5FDFE1DB" w14:textId="77777777" w:rsidR="005A3EDC" w:rsidRPr="00ED172B" w:rsidRDefault="005A3EDC" w:rsidP="0082735C">
            <w:pPr>
              <w:jc w:val="center"/>
              <w:rPr>
                <w:color w:val="000000" w:themeColor="text1"/>
                <w:szCs w:val="16"/>
              </w:rPr>
            </w:pPr>
            <w:r w:rsidRPr="00ED172B">
              <w:rPr>
                <w:rFonts w:cs="Arial"/>
                <w:color w:val="000000" w:themeColor="text1"/>
                <w:szCs w:val="16"/>
              </w:rPr>
              <w:t>47.42%</w:t>
            </w:r>
          </w:p>
        </w:tc>
        <w:tc>
          <w:tcPr>
            <w:tcW w:w="626" w:type="pct"/>
          </w:tcPr>
          <w:p w14:paraId="2AE8882B" w14:textId="77777777" w:rsidR="005A3EDC" w:rsidRPr="00ED172B" w:rsidRDefault="005A3EDC" w:rsidP="0082735C">
            <w:pPr>
              <w:jc w:val="center"/>
              <w:rPr>
                <w:color w:val="000000" w:themeColor="text1"/>
                <w:szCs w:val="16"/>
              </w:rPr>
            </w:pPr>
            <w:r w:rsidRPr="00ED172B">
              <w:rPr>
                <w:color w:val="000000" w:themeColor="text1"/>
                <w:szCs w:val="16"/>
              </w:rPr>
              <w:t>34.00%</w:t>
            </w:r>
          </w:p>
        </w:tc>
        <w:tc>
          <w:tcPr>
            <w:tcW w:w="584" w:type="pct"/>
          </w:tcPr>
          <w:p w14:paraId="35BCABE5" w14:textId="77777777" w:rsidR="005A3EDC" w:rsidRPr="00ED172B" w:rsidRDefault="005A3EDC" w:rsidP="0082735C">
            <w:pPr>
              <w:jc w:val="center"/>
              <w:rPr>
                <w:color w:val="000000" w:themeColor="text1"/>
                <w:szCs w:val="16"/>
              </w:rPr>
            </w:pPr>
            <w:r w:rsidRPr="00ED172B">
              <w:rPr>
                <w:rFonts w:cs="Arial"/>
                <w:color w:val="000000" w:themeColor="text1"/>
                <w:szCs w:val="16"/>
              </w:rPr>
              <w:t>45.72%</w:t>
            </w:r>
          </w:p>
        </w:tc>
        <w:tc>
          <w:tcPr>
            <w:tcW w:w="584" w:type="pct"/>
          </w:tcPr>
          <w:p w14:paraId="221B349A" w14:textId="77777777" w:rsidR="005A3EDC" w:rsidRPr="00ED172B" w:rsidRDefault="005A3EDC" w:rsidP="0082735C">
            <w:pPr>
              <w:jc w:val="center"/>
              <w:rPr>
                <w:color w:val="000000" w:themeColor="text1"/>
              </w:rPr>
            </w:pPr>
            <w:r w:rsidRPr="00ED172B">
              <w:rPr>
                <w:color w:val="000000" w:themeColor="text1"/>
              </w:rPr>
              <w:t>Met target</w:t>
            </w:r>
          </w:p>
        </w:tc>
        <w:tc>
          <w:tcPr>
            <w:tcW w:w="498" w:type="pct"/>
          </w:tcPr>
          <w:p w14:paraId="08BDCB92" w14:textId="77777777" w:rsidR="005A3EDC" w:rsidRPr="00ED172B" w:rsidRDefault="005A3EDC" w:rsidP="0082735C">
            <w:pPr>
              <w:jc w:val="center"/>
              <w:rPr>
                <w:color w:val="000000" w:themeColor="text1"/>
              </w:rPr>
            </w:pPr>
            <w:r w:rsidRPr="00ED172B">
              <w:rPr>
                <w:color w:val="000000" w:themeColor="text1"/>
              </w:rPr>
              <w:t>No Slippage</w:t>
            </w:r>
          </w:p>
        </w:tc>
      </w:tr>
    </w:tbl>
    <w:p w14:paraId="07E253C5" w14:textId="77777777" w:rsidR="00693B33" w:rsidRDefault="00693B33" w:rsidP="00741E58"/>
    <w:p w14:paraId="10B45BD9" w14:textId="77777777" w:rsidR="00305E79" w:rsidRDefault="00305E79" w:rsidP="00C14BC7">
      <w:pPr>
        <w:rPr>
          <w:b/>
          <w:bCs/>
        </w:rPr>
      </w:pPr>
      <w:r>
        <w:rPr>
          <w:b/>
          <w:bCs/>
        </w:rPr>
        <w:t>Provide the data source for the FFY 2024 data.</w:t>
      </w:r>
    </w:p>
    <w:p w14:paraId="72345EE8" w14:textId="77777777" w:rsidR="00305E79" w:rsidRDefault="00305E79" w:rsidP="00305E79">
      <w:pPr>
        <w:rPr>
          <w:color w:val="000000" w:themeColor="text1"/>
        </w:rPr>
      </w:pPr>
      <w:r w:rsidRPr="00ED172B">
        <w:rPr>
          <w:color w:val="000000" w:themeColor="text1"/>
        </w:rPr>
        <w:lastRenderedPageBreak/>
        <w:t xml:space="preserve">Data source for the </w:t>
      </w:r>
      <w:proofErr w:type="spellStart"/>
      <w:r w:rsidRPr="00ED172B">
        <w:rPr>
          <w:color w:val="000000" w:themeColor="text1"/>
        </w:rPr>
        <w:t>SiMR</w:t>
      </w:r>
      <w:proofErr w:type="spellEnd"/>
      <w:r w:rsidRPr="00ED172B">
        <w:rPr>
          <w:color w:val="000000" w:themeColor="text1"/>
        </w:rPr>
        <w:t xml:space="preserve"> is Outcome B, summary statement 2. Numerator equals the </w:t>
      </w:r>
      <w:proofErr w:type="gramStart"/>
      <w:r w:rsidRPr="00ED172B">
        <w:rPr>
          <w:color w:val="000000" w:themeColor="text1"/>
        </w:rPr>
        <w:t>percent</w:t>
      </w:r>
      <w:proofErr w:type="gramEnd"/>
      <w:r w:rsidRPr="00ED172B">
        <w:rPr>
          <w:color w:val="000000" w:themeColor="text1"/>
        </w:rPr>
        <w:t xml:space="preserve"> of infants/toddlers who were functioning within age expectations in ECO Outcome B by the time they turned 3 or exited the program (Outcome B; progress categories </w:t>
      </w:r>
      <w:proofErr w:type="spellStart"/>
      <w:r w:rsidRPr="00ED172B">
        <w:rPr>
          <w:color w:val="000000" w:themeColor="text1"/>
        </w:rPr>
        <w:t>d+e</w:t>
      </w:r>
      <w:proofErr w:type="spellEnd"/>
      <w:r w:rsidRPr="00ED172B">
        <w:rPr>
          <w:color w:val="000000" w:themeColor="text1"/>
        </w:rPr>
        <w:t xml:space="preserve">). Denominator equals all infants/toddlers who exited with at least six months of services in FFY 2024 who had both entrance and exit ECO ratings in Outcome B (Outcome B; progress categories (a) + (b) + (c) + (d) + (e) times 100. </w:t>
      </w:r>
    </w:p>
    <w:p w14:paraId="5E29EAA2" w14:textId="77777777" w:rsidR="00C14BC7" w:rsidRPr="00C14BC7" w:rsidRDefault="00C14BC7" w:rsidP="00C14BC7">
      <w:r w:rsidRPr="00F85A5B">
        <w:rPr>
          <w:b/>
          <w:bCs/>
        </w:rPr>
        <w:t xml:space="preserve">Please describe how data are collected and analyzed for the </w:t>
      </w:r>
      <w:proofErr w:type="spellStart"/>
      <w:r w:rsidRPr="00F85A5B">
        <w:rPr>
          <w:b/>
          <w:bCs/>
        </w:rPr>
        <w:t>SiMR</w:t>
      </w:r>
      <w:proofErr w:type="spellEnd"/>
      <w:r w:rsidRPr="00C14BC7">
        <w:t>.</w:t>
      </w:r>
    </w:p>
    <w:p w14:paraId="091B288A" w14:textId="77777777" w:rsidR="00C14BC7" w:rsidRDefault="00C14BC7" w:rsidP="00C14BC7">
      <w:pPr>
        <w:rPr>
          <w:color w:val="000000" w:themeColor="text1"/>
        </w:rPr>
      </w:pPr>
      <w:r w:rsidRPr="00ED172B">
        <w:rPr>
          <w:color w:val="000000" w:themeColor="text1"/>
        </w:rPr>
        <w:t xml:space="preserve">The 2024-25 </w:t>
      </w:r>
      <w:proofErr w:type="spellStart"/>
      <w:r w:rsidRPr="00ED172B">
        <w:rPr>
          <w:color w:val="000000" w:themeColor="text1"/>
        </w:rPr>
        <w:t>SiMR</w:t>
      </w:r>
      <w:proofErr w:type="spellEnd"/>
      <w:r w:rsidRPr="00ED172B">
        <w:rPr>
          <w:color w:val="000000" w:themeColor="text1"/>
        </w:rPr>
        <w:t xml:space="preserve"> data mirrors the reporting for Indicator 3, B2. The data for 2024-25 includes children whose initial assessments were completed using AEPS, BDI-2, or BDI-3.</w:t>
      </w:r>
    </w:p>
    <w:p w14:paraId="71EEE7E2" w14:textId="77777777" w:rsidR="007876EE" w:rsidRDefault="007876EE"/>
    <w:p w14:paraId="7542BA51" w14:textId="77777777" w:rsidR="007876EE" w:rsidRDefault="00000000">
      <w:r>
        <w:rPr>
          <w:color w:val="000000"/>
        </w:rPr>
        <w:t xml:space="preserve">Entrance ratings from these instruments were converted to a 1–7 COS scale. Exit ratings were collected using the BDI-3, converted to the same scale, and compared to entrance scores using the methodology described below. The communication and cognition domains were combined for Outcome B. </w:t>
      </w:r>
    </w:p>
    <w:p w14:paraId="1BF2A0F3" w14:textId="77777777" w:rsidR="007876EE" w:rsidRDefault="007876EE"/>
    <w:p w14:paraId="461556EE" w14:textId="77777777" w:rsidR="007876EE" w:rsidRDefault="00000000">
      <w:r>
        <w:rPr>
          <w:color w:val="000000"/>
        </w:rPr>
        <w:t>Pilot Process for Developmental Check-Ins:</w:t>
      </w:r>
    </w:p>
    <w:p w14:paraId="3BB4BB55" w14:textId="77777777" w:rsidR="007876EE" w:rsidRDefault="00000000">
      <w:r>
        <w:rPr>
          <w:color w:val="000000"/>
        </w:rPr>
        <w:t>Beginning in FFY 2024-25, TEIS piloted an internal process for conducting developmental check-ins during annual IFSP development. This pilot incorporated the traditional COS process. For children included in the pilot and the ECO reporting, COS data from these check-ins supported exit ECO scores.</w:t>
      </w:r>
    </w:p>
    <w:p w14:paraId="1F8381AD" w14:textId="77777777" w:rsidR="007876EE" w:rsidRDefault="007876EE"/>
    <w:p w14:paraId="13127C81" w14:textId="77777777" w:rsidR="007876EE" w:rsidRDefault="00000000">
      <w:r>
        <w:rPr>
          <w:color w:val="000000"/>
        </w:rPr>
        <w:t>Crosswalk and Progress Calculation:</w:t>
      </w:r>
    </w:p>
    <w:p w14:paraId="473F0C3F" w14:textId="77777777" w:rsidR="007876EE" w:rsidRDefault="00000000">
      <w:r>
        <w:rPr>
          <w:color w:val="000000"/>
        </w:rPr>
        <w:t>A crosswalk was developed to align BDI-3 data with COS ratings based on standard deviations (z-scores).</w:t>
      </w:r>
    </w:p>
    <w:p w14:paraId="58C5AD3E" w14:textId="77777777" w:rsidR="007876EE" w:rsidRDefault="007876EE"/>
    <w:p w14:paraId="329413FE" w14:textId="77777777" w:rsidR="007876EE" w:rsidRDefault="00000000">
      <w:r>
        <w:rPr>
          <w:color w:val="000000"/>
        </w:rPr>
        <w:t>-Children scoring –1.3 SD or higher in the relevant domain(s) were considered “comparable to same-aged peers.”</w:t>
      </w:r>
    </w:p>
    <w:p w14:paraId="75CFC366" w14:textId="77777777" w:rsidR="007876EE" w:rsidRDefault="00000000">
      <w:r>
        <w:rPr>
          <w:color w:val="000000"/>
        </w:rPr>
        <w:t>-Based on pilot data, the state reviewed and adjusted its formula for determining progress from BDI-3 scores.</w:t>
      </w:r>
    </w:p>
    <w:p w14:paraId="3E880EE0" w14:textId="77777777" w:rsidR="007876EE" w:rsidRDefault="00000000">
      <w:r>
        <w:rPr>
          <w:color w:val="000000"/>
        </w:rPr>
        <w:t>-This adjustment resulted in some shifts in progress categories compared to the 2023-24 reporting period.</w:t>
      </w:r>
    </w:p>
    <w:p w14:paraId="04AF73BB" w14:textId="77777777" w:rsidR="00270F92" w:rsidRDefault="00270F92" w:rsidP="00741E58"/>
    <w:p w14:paraId="59F783EE" w14:textId="77777777" w:rsidR="00177098" w:rsidRDefault="006D5F86" w:rsidP="006D5F86">
      <w:pPr>
        <w:rPr>
          <w:rFonts w:cs="Arial"/>
          <w:b/>
          <w:bCs/>
        </w:rPr>
      </w:pPr>
      <w:bookmarkStart w:id="67"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w:t>
      </w:r>
      <w:proofErr w:type="spellStart"/>
      <w:r w:rsidRPr="00F85A5B">
        <w:rPr>
          <w:rFonts w:cs="Arial"/>
          <w:b/>
          <w:bCs/>
        </w:rPr>
        <w:t>SiMR</w:t>
      </w:r>
      <w:proofErr w:type="spellEnd"/>
      <w:r w:rsidRPr="00F85A5B">
        <w:rPr>
          <w:rFonts w:cs="Arial"/>
          <w:b/>
          <w:bCs/>
        </w:rPr>
        <w:t>?</w:t>
      </w:r>
      <w:r w:rsidR="00CD071F">
        <w:rPr>
          <w:b/>
          <w:bCs/>
        </w:rPr>
        <w:t xml:space="preserve"> </w:t>
      </w:r>
      <w:r w:rsidR="00CD071F" w:rsidRPr="00CD071F">
        <w:rPr>
          <w:b/>
          <w:bCs/>
        </w:rPr>
        <w:t>(yes/no)</w:t>
      </w:r>
    </w:p>
    <w:bookmarkEnd w:id="67"/>
    <w:p w14:paraId="078D27BE" w14:textId="77777777" w:rsidR="00831891" w:rsidRPr="000123EB" w:rsidRDefault="00831891" w:rsidP="00831891">
      <w:pPr>
        <w:rPr>
          <w:color w:val="000000" w:themeColor="text1"/>
        </w:rPr>
      </w:pPr>
      <w:r w:rsidRPr="00ED172B">
        <w:rPr>
          <w:color w:val="000000" w:themeColor="text1"/>
        </w:rPr>
        <w:t>YES</w:t>
      </w:r>
    </w:p>
    <w:p w14:paraId="4D3A552D" w14:textId="77777777" w:rsidR="006D5F86" w:rsidRDefault="007F0DC5" w:rsidP="00741E58">
      <w:pPr>
        <w:rPr>
          <w:rFonts w:cs="Arial"/>
          <w:b/>
          <w:bCs/>
        </w:rPr>
      </w:pPr>
      <w:bookmarkStart w:id="68" w:name="_Hlk109646931"/>
      <w:r>
        <w:rPr>
          <w:rFonts w:cs="Arial"/>
          <w:b/>
          <w:bCs/>
        </w:rPr>
        <w:t xml:space="preserve">Describe any additional data collected by the State to assess progress toward the </w:t>
      </w:r>
      <w:proofErr w:type="spellStart"/>
      <w:r>
        <w:rPr>
          <w:rFonts w:cs="Arial"/>
          <w:b/>
          <w:bCs/>
        </w:rPr>
        <w:t>SiMR</w:t>
      </w:r>
      <w:proofErr w:type="spellEnd"/>
      <w:r>
        <w:rPr>
          <w:rFonts w:cs="Arial"/>
          <w:b/>
          <w:bCs/>
        </w:rPr>
        <w:t>.</w:t>
      </w:r>
    </w:p>
    <w:bookmarkEnd w:id="68"/>
    <w:p w14:paraId="51E27F2E" w14:textId="77777777" w:rsidR="006F322B" w:rsidRDefault="006F322B" w:rsidP="006F322B">
      <w:pPr>
        <w:rPr>
          <w:color w:val="000000" w:themeColor="text1"/>
        </w:rPr>
      </w:pPr>
      <w:r w:rsidRPr="00ED172B">
        <w:rPr>
          <w:color w:val="000000" w:themeColor="text1"/>
        </w:rPr>
        <w:t>Beginning in FFY 2024-25, TEIS piloted a new process using an internal team to conduct developmental check-ins during annual IFSP development. This pilot incorporated the traditional Child Outcomes Summary (COS) process for ECO data collection and included gathering present levels of development from all IFSP team members. For children who participated in the pilot and were included in the 2024-25 ECO reporting, COS data from these developmental check-ins was used to support exit ECO scores.</w:t>
      </w:r>
    </w:p>
    <w:p w14:paraId="7935EDC3" w14:textId="77777777" w:rsidR="006F322B" w:rsidRDefault="006F322B" w:rsidP="00741E58">
      <w:pPr>
        <w:rPr>
          <w:b/>
          <w:bCs/>
        </w:rPr>
      </w:pPr>
    </w:p>
    <w:p w14:paraId="24EF3AD1" w14:textId="77777777" w:rsidR="00C77A39" w:rsidRDefault="00C77A39" w:rsidP="00C77A39">
      <w:pPr>
        <w:spacing w:after="0"/>
        <w:rPr>
          <w:rFonts w:cs="Arial"/>
          <w:b/>
          <w:bCs/>
        </w:rPr>
      </w:pPr>
      <w:bookmarkStart w:id="69" w:name="_Hlk109646937"/>
      <w:r w:rsidRPr="00F85A5B">
        <w:rPr>
          <w:rFonts w:cs="Arial"/>
          <w:b/>
          <w:bCs/>
        </w:rPr>
        <w:t xml:space="preserve">Did the State identify any general data quality concerns, unrelated to COVID-19, which affected progress toward the </w:t>
      </w:r>
      <w:proofErr w:type="spellStart"/>
      <w:r w:rsidRPr="00F85A5B">
        <w:rPr>
          <w:rFonts w:cs="Arial"/>
          <w:b/>
          <w:bCs/>
        </w:rPr>
        <w:t>SiMR</w:t>
      </w:r>
      <w:proofErr w:type="spellEnd"/>
      <w:r w:rsidRPr="00F85A5B">
        <w:rPr>
          <w:rFonts w:cs="Arial"/>
          <w:b/>
          <w:bCs/>
        </w:rPr>
        <w:t xml:space="preserve"> during the reporting period? </w:t>
      </w:r>
      <w:r w:rsidR="00CD071F" w:rsidRPr="00CD071F">
        <w:rPr>
          <w:b/>
          <w:bCs/>
        </w:rPr>
        <w:t>(yes/no)</w:t>
      </w:r>
    </w:p>
    <w:bookmarkEnd w:id="69"/>
    <w:p w14:paraId="08B029D6" w14:textId="77777777" w:rsidR="005838E8" w:rsidRDefault="005838E8" w:rsidP="00C77A39">
      <w:pPr>
        <w:spacing w:after="0"/>
        <w:rPr>
          <w:rFonts w:cs="Arial"/>
          <w:b/>
          <w:bCs/>
        </w:rPr>
      </w:pPr>
      <w:r w:rsidRPr="00ED172B">
        <w:rPr>
          <w:color w:val="000000" w:themeColor="text1"/>
        </w:rPr>
        <w:t>YES</w:t>
      </w:r>
    </w:p>
    <w:p w14:paraId="6941BC46" w14:textId="77777777" w:rsidR="00CA7DE8" w:rsidRPr="00F85A5B" w:rsidRDefault="007F0DC5" w:rsidP="00C77A39">
      <w:pPr>
        <w:spacing w:after="0"/>
        <w:rPr>
          <w:rFonts w:cs="Arial"/>
          <w:b/>
          <w:bCs/>
        </w:rPr>
      </w:pPr>
      <w:bookmarkStart w:id="70" w:name="_Hlk109646945"/>
      <w:r>
        <w:rPr>
          <w:rFonts w:cs="Arial"/>
          <w:b/>
          <w:bCs/>
        </w:rPr>
        <w:t>Describe any data quality issues, unrelated to COVID-19</w:t>
      </w:r>
      <w:r w:rsidR="000B4BBE">
        <w:rPr>
          <w:rFonts w:cs="Arial"/>
        </w:rPr>
        <w:t>,</w:t>
      </w:r>
      <w:r>
        <w:rPr>
          <w:rFonts w:cs="Arial"/>
          <w:b/>
          <w:bCs/>
        </w:rPr>
        <w:t xml:space="preserve"> specific to the </w:t>
      </w:r>
      <w:proofErr w:type="spellStart"/>
      <w:r>
        <w:rPr>
          <w:rFonts w:cs="Arial"/>
          <w:b/>
          <w:bCs/>
        </w:rPr>
        <w:t>SiMR</w:t>
      </w:r>
      <w:proofErr w:type="spellEnd"/>
      <w:r>
        <w:rPr>
          <w:rFonts w:cs="Arial"/>
          <w:b/>
          <w:bCs/>
        </w:rPr>
        <w:t xml:space="preserve"> data and include actions taken to address data quality concerns.</w:t>
      </w:r>
    </w:p>
    <w:bookmarkEnd w:id="70"/>
    <w:p w14:paraId="19E0B8DA" w14:textId="77777777" w:rsidR="00C77A39" w:rsidRDefault="005838E8" w:rsidP="00741E58">
      <w:pPr>
        <w:rPr>
          <w:color w:val="000000" w:themeColor="text1"/>
        </w:rPr>
      </w:pPr>
      <w:r w:rsidRPr="00ED172B">
        <w:rPr>
          <w:color w:val="000000" w:themeColor="text1"/>
        </w:rPr>
        <w:t xml:space="preserve">TEIS </w:t>
      </w:r>
      <w:proofErr w:type="gramStart"/>
      <w:r w:rsidRPr="00ED172B">
        <w:rPr>
          <w:color w:val="000000" w:themeColor="text1"/>
        </w:rPr>
        <w:t>made adjustments</w:t>
      </w:r>
      <w:proofErr w:type="gramEnd"/>
      <w:r w:rsidRPr="00ED172B">
        <w:rPr>
          <w:color w:val="000000" w:themeColor="text1"/>
        </w:rPr>
        <w:t xml:space="preserve"> in the formula used to determine progress categories. These changes were informed by data from a pilot project launched in FFY 2024-25, in which an internal team conducted developmental check-ins as part of annual IFSP review meetings.</w:t>
      </w:r>
    </w:p>
    <w:p w14:paraId="5D203A7E" w14:textId="77777777" w:rsidR="007876EE" w:rsidRDefault="007876EE"/>
    <w:p w14:paraId="3870CF90" w14:textId="77777777" w:rsidR="007876EE" w:rsidRDefault="00000000">
      <w:r>
        <w:rPr>
          <w:color w:val="000000"/>
        </w:rPr>
        <w:t>During these check-ins, the team gathered information on each child’s present levels of development from all IFSP team members, including parents, and completed a Child Outcomes Summary (COS) rating. Analysis of the pilot data helped the Lead Agency identify necessary corrections in how progress was calculated using BDI-3 data.</w:t>
      </w:r>
    </w:p>
    <w:p w14:paraId="5AD78E58" w14:textId="77777777" w:rsidR="007876EE" w:rsidRDefault="007876EE"/>
    <w:p w14:paraId="1A7CA74E" w14:textId="77777777" w:rsidR="007876EE" w:rsidRDefault="00000000">
      <w:r>
        <w:rPr>
          <w:color w:val="000000"/>
        </w:rPr>
        <w:t xml:space="preserve">As a result of these adjustments, some shifts occurred in progress categories for children exiting in FFY 2024-25 compared to the previous reporting period (FFY 2023-24). The shifts in these progress categories are less notable in the </w:t>
      </w:r>
      <w:proofErr w:type="spellStart"/>
      <w:r>
        <w:rPr>
          <w:color w:val="000000"/>
        </w:rPr>
        <w:t>SiMR</w:t>
      </w:r>
      <w:proofErr w:type="spellEnd"/>
      <w:r>
        <w:rPr>
          <w:color w:val="000000"/>
        </w:rPr>
        <w:t xml:space="preserve"> in 2024-25 but may impact future outcomes data as more children who participated Developmental Check-Ins exit TEIS services.</w:t>
      </w:r>
    </w:p>
    <w:p w14:paraId="3B2B0CF0" w14:textId="77777777" w:rsidR="005838E8" w:rsidRDefault="005838E8" w:rsidP="00741E58">
      <w:pPr>
        <w:rPr>
          <w:b/>
          <w:bCs/>
        </w:rPr>
      </w:pPr>
    </w:p>
    <w:p w14:paraId="7D9C3677" w14:textId="77777777" w:rsidR="00FC7972" w:rsidRDefault="00FC7972" w:rsidP="00741E58">
      <w:pPr>
        <w:rPr>
          <w:b/>
          <w:bCs/>
        </w:rPr>
      </w:pPr>
      <w:bookmarkStart w:id="71" w:name="_Hlk109646952"/>
      <w:r w:rsidRPr="00FC7972">
        <w:rPr>
          <w:b/>
          <w:bCs/>
        </w:rPr>
        <w:t>Did the State identify any data quality concerns directly related to the COVID-19 pandemic during the reporting period? (yes/no)</w:t>
      </w:r>
    </w:p>
    <w:bookmarkEnd w:id="71"/>
    <w:p w14:paraId="6CE266EB" w14:textId="77777777" w:rsidR="005838E8" w:rsidRDefault="005838E8" w:rsidP="00741E58">
      <w:pPr>
        <w:rPr>
          <w:b/>
          <w:bCs/>
        </w:rPr>
      </w:pPr>
      <w:r w:rsidRPr="00ED172B">
        <w:rPr>
          <w:color w:val="000000" w:themeColor="text1"/>
        </w:rPr>
        <w:t>YES</w:t>
      </w:r>
    </w:p>
    <w:p w14:paraId="44933098" w14:textId="77777777" w:rsidR="0039177A" w:rsidRDefault="0039177A" w:rsidP="00741E58">
      <w:pPr>
        <w:rPr>
          <w:b/>
          <w:bCs/>
        </w:rPr>
      </w:pPr>
      <w:bookmarkStart w:id="72" w:name="_Hlk109646960"/>
      <w:r w:rsidRPr="0039177A">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bookmarkEnd w:id="72"/>
    <w:p w14:paraId="5DBC0E5C" w14:textId="77777777" w:rsidR="005838E8" w:rsidRPr="000123EB" w:rsidRDefault="005838E8" w:rsidP="00741E58">
      <w:pPr>
        <w:rPr>
          <w:b/>
          <w:bCs/>
        </w:rPr>
      </w:pPr>
      <w:r w:rsidRPr="00ED172B">
        <w:rPr>
          <w:color w:val="000000" w:themeColor="text1"/>
        </w:rPr>
        <w:t>During the COVID-19 pandemic, children entered TEIS services at a time when early intervention was delivered remotely. This required flexibility in assessment and evaluation procedures to ensure responsiveness to family needs, particularly for those unable to reliably participate in telehealth assessments.</w:t>
      </w:r>
    </w:p>
    <w:p w14:paraId="127FC2C8" w14:textId="77777777" w:rsidR="007876EE" w:rsidRDefault="007876EE"/>
    <w:p w14:paraId="4A602096" w14:textId="77777777" w:rsidR="007876EE" w:rsidRDefault="00000000">
      <w:r>
        <w:rPr>
          <w:color w:val="000000"/>
        </w:rPr>
        <w:t xml:space="preserve">Typically, these children would have exited early intervention due to age. However, with the implementation of the TEIS Extended Option, which allows eligible children to remain in </w:t>
      </w:r>
      <w:proofErr w:type="gramStart"/>
      <w:r>
        <w:rPr>
          <w:color w:val="000000"/>
        </w:rPr>
        <w:t>services</w:t>
      </w:r>
      <w:proofErr w:type="gramEnd"/>
      <w:r>
        <w:rPr>
          <w:color w:val="000000"/>
        </w:rPr>
        <w:t xml:space="preserve"> until the start of school following their fifth birthday, some records still exist where entrance ratings are missing.</w:t>
      </w:r>
    </w:p>
    <w:p w14:paraId="64CF0197" w14:textId="77777777" w:rsidR="005838E8" w:rsidRDefault="005838E8" w:rsidP="00741E58">
      <w:pPr>
        <w:rPr>
          <w:b/>
          <w:bCs/>
        </w:rPr>
      </w:pPr>
    </w:p>
    <w:p w14:paraId="747CFBA8" w14:textId="77777777" w:rsidR="00562F31" w:rsidRPr="000315F0" w:rsidRDefault="00562F31" w:rsidP="00562F31">
      <w:pPr>
        <w:pStyle w:val="Subhed"/>
      </w:pPr>
      <w:r w:rsidRPr="000315F0">
        <w:t>Section B:</w:t>
      </w:r>
      <w:r>
        <w:t xml:space="preserve"> </w:t>
      </w:r>
      <w:r w:rsidRPr="000315F0">
        <w:t>Implementation, Analysis and Evaluation</w:t>
      </w:r>
    </w:p>
    <w:p w14:paraId="79CF5B42" w14:textId="77777777" w:rsidR="0041306A" w:rsidRDefault="0041306A" w:rsidP="0041306A">
      <w:pPr>
        <w:rPr>
          <w:rFonts w:cs="Arial"/>
          <w:b/>
          <w:bCs/>
        </w:rPr>
      </w:pPr>
      <w:r>
        <w:rPr>
          <w:rFonts w:cs="Arial"/>
          <w:b/>
          <w:bCs/>
        </w:rPr>
        <w:t>Please provide a link to the State’s current evaluation plan.</w:t>
      </w:r>
    </w:p>
    <w:p w14:paraId="22ECDD4D" w14:textId="77777777" w:rsidR="0041306A" w:rsidRDefault="0041306A" w:rsidP="0041306A">
      <w:pPr>
        <w:rPr>
          <w:color w:val="000000" w:themeColor="text1"/>
        </w:rPr>
      </w:pPr>
      <w:r>
        <w:rPr>
          <w:color w:val="000000" w:themeColor="text1"/>
        </w:rPr>
        <w:t>https://www.tn.gov/content/dam/tn/disability-and-aging/documents/disability-aging-programs/teis/ssip-2022-2025-(updated-10.27.25)-ada-accessible.pdf</w:t>
      </w:r>
    </w:p>
    <w:p w14:paraId="73F2A338"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3E6C89CA" w14:textId="77777777" w:rsidR="0041306A" w:rsidRDefault="0041306A" w:rsidP="0041306A">
      <w:pPr>
        <w:rPr>
          <w:color w:val="000000" w:themeColor="text1"/>
        </w:rPr>
      </w:pPr>
      <w:r>
        <w:rPr>
          <w:color w:val="000000" w:themeColor="text1"/>
        </w:rPr>
        <w:t>YES</w:t>
      </w:r>
    </w:p>
    <w:p w14:paraId="64EEDA54" w14:textId="77777777" w:rsidR="0041306A" w:rsidRDefault="0041306A" w:rsidP="0041306A">
      <w:pPr>
        <w:rPr>
          <w:rFonts w:cs="Arial"/>
          <w:b/>
          <w:bCs/>
        </w:rPr>
      </w:pPr>
      <w:r>
        <w:rPr>
          <w:rFonts w:cs="Arial"/>
          <w:b/>
          <w:bCs/>
        </w:rPr>
        <w:lastRenderedPageBreak/>
        <w:t>If yes, provide a description of the changes and updates to the evaluation plan.</w:t>
      </w:r>
    </w:p>
    <w:p w14:paraId="3A3AC173" w14:textId="77777777" w:rsidR="0041306A" w:rsidRDefault="0041306A" w:rsidP="0041306A">
      <w:pPr>
        <w:rPr>
          <w:color w:val="000000" w:themeColor="text1"/>
        </w:rPr>
      </w:pPr>
      <w:r>
        <w:rPr>
          <w:color w:val="000000" w:themeColor="text1"/>
        </w:rPr>
        <w:t xml:space="preserve">The measurable result “Decrease in requested review IFSP meetings held to adjust services over baseline” has now been removed from IFSP Teaming. This change is explained below. </w:t>
      </w:r>
    </w:p>
    <w:p w14:paraId="7B1C390F" w14:textId="77777777" w:rsidR="0041306A" w:rsidRDefault="0041306A" w:rsidP="0041306A">
      <w:pPr>
        <w:rPr>
          <w:rFonts w:cs="Arial"/>
          <w:b/>
          <w:bCs/>
        </w:rPr>
      </w:pPr>
      <w:r>
        <w:rPr>
          <w:rFonts w:cs="Arial"/>
          <w:b/>
          <w:bCs/>
        </w:rPr>
        <w:t>If yes, describe a rationale or justification for the changes to the SSIP evaluation plan.</w:t>
      </w:r>
    </w:p>
    <w:p w14:paraId="04C5DDF4" w14:textId="77777777" w:rsidR="0041306A" w:rsidRDefault="0041306A" w:rsidP="0041306A">
      <w:pPr>
        <w:rPr>
          <w:b/>
          <w:bCs/>
        </w:rPr>
      </w:pPr>
      <w:r>
        <w:rPr>
          <w:color w:val="000000" w:themeColor="text1"/>
        </w:rPr>
        <w:t xml:space="preserve">Further data analysis of this improvement strategy showed that requests to review or modify services between scheduled IFSP meetings occurred for a variety of reasons. The number of requested review meetings is unable to be utilized as a metric related to IFSP team function.   </w:t>
      </w:r>
    </w:p>
    <w:p w14:paraId="35E08387" w14:textId="77777777" w:rsidR="00EE4E0F" w:rsidRDefault="00EE4E0F" w:rsidP="003B71AB">
      <w:pPr>
        <w:rPr>
          <w:rFonts w:cs="Arial"/>
          <w:b/>
          <w:bCs/>
        </w:rPr>
      </w:pPr>
    </w:p>
    <w:p w14:paraId="01229A21" w14:textId="77777777" w:rsidR="0041306A" w:rsidRDefault="0041306A" w:rsidP="003B71AB">
      <w:pPr>
        <w:rPr>
          <w:rFonts w:cs="Arial"/>
          <w:b/>
          <w:bCs/>
        </w:rPr>
      </w:pPr>
    </w:p>
    <w:p w14:paraId="277F8D6D" w14:textId="77777777" w:rsidR="003B71AB" w:rsidRPr="00E30972" w:rsidRDefault="00A85B6E" w:rsidP="003B71AB">
      <w:pPr>
        <w:rPr>
          <w:rFonts w:cs="Arial"/>
          <w:b/>
        </w:rPr>
      </w:pPr>
      <w:bookmarkStart w:id="73" w:name="_Hlk109647010"/>
      <w:r w:rsidRPr="008E5E4F">
        <w:rPr>
          <w:rFonts w:cs="Arial"/>
          <w:b/>
          <w:szCs w:val="16"/>
        </w:rPr>
        <w:t>Provide a summary of each infrastructure improvement strategy implemented in the reporting period.</w:t>
      </w:r>
    </w:p>
    <w:bookmarkEnd w:id="73"/>
    <w:p w14:paraId="6361533B" w14:textId="77777777" w:rsidR="00EE4E0F" w:rsidRPr="009A49C9" w:rsidRDefault="00EE4E0F" w:rsidP="00EE4E0F">
      <w:pPr>
        <w:rPr>
          <w:b/>
          <w:bCs/>
        </w:rPr>
      </w:pPr>
      <w:r w:rsidRPr="00ED172B">
        <w:rPr>
          <w:color w:val="000000" w:themeColor="text1"/>
        </w:rPr>
        <w:t>In 2023, the TEIS Contracts Team partnered with the Vendor Advisory Council to address barriers to service delivery and improve communication with current and potential agencies. The goal was to expand contracts and increase available service hours for children statewide.</w:t>
      </w:r>
    </w:p>
    <w:p w14:paraId="27C2F276" w14:textId="77777777" w:rsidR="007876EE" w:rsidRDefault="007876EE"/>
    <w:p w14:paraId="7CDC69F0" w14:textId="77777777" w:rsidR="007876EE" w:rsidRDefault="00000000">
      <w:r>
        <w:rPr>
          <w:color w:val="000000"/>
        </w:rPr>
        <w:t>To support this effort, TEIS launched a Vendor Expansion Grant from May 1 to August 1, 2023, encouraging existing providers of physical therapy, occupational therapy, and speech therapy to increase service hours, particularly in priority geographic areas and for traditionally underserved populations.</w:t>
      </w:r>
    </w:p>
    <w:p w14:paraId="2ED90A8F" w14:textId="77777777" w:rsidR="007876EE" w:rsidRDefault="007876EE"/>
    <w:p w14:paraId="5776D8DA" w14:textId="77777777" w:rsidR="007876EE" w:rsidRDefault="00000000">
      <w:r>
        <w:rPr>
          <w:color w:val="000000"/>
        </w:rPr>
        <w:t>As a result:</w:t>
      </w:r>
    </w:p>
    <w:p w14:paraId="056A1949" w14:textId="77777777" w:rsidR="007876EE" w:rsidRDefault="00000000">
      <w:r>
        <w:rPr>
          <w:color w:val="000000"/>
        </w:rPr>
        <w:t>-In 2023–2024, TEIS added 22 new vendors across the state and expanded services for 8 existing vendors, including additional therapies and service locations.</w:t>
      </w:r>
    </w:p>
    <w:p w14:paraId="5258C32F" w14:textId="77777777" w:rsidR="007876EE" w:rsidRDefault="00000000">
      <w:r>
        <w:rPr>
          <w:color w:val="000000"/>
        </w:rPr>
        <w:t>-In 2024–2025, TEIS added 11 new vendors and expanded services for 17 existing vendors to include more therapies and delivery options.</w:t>
      </w:r>
    </w:p>
    <w:p w14:paraId="3244CEB9" w14:textId="77777777" w:rsidR="007876EE" w:rsidRDefault="007876EE"/>
    <w:p w14:paraId="14BB5139" w14:textId="77777777" w:rsidR="007876EE" w:rsidRDefault="00000000">
      <w:r>
        <w:rPr>
          <w:color w:val="000000"/>
        </w:rPr>
        <w:t>On July 1, 2024, TEIS began a new five-year contract cycle for both new and existing therapy vendors to provide IDEA-compliant services to children enrolled in TEIS.</w:t>
      </w:r>
    </w:p>
    <w:p w14:paraId="7127AC27" w14:textId="77777777" w:rsidR="006237B0" w:rsidRDefault="006237B0" w:rsidP="003B71AB">
      <w:pPr>
        <w:rPr>
          <w:rFonts w:cs="Arial"/>
          <w:b/>
          <w:bCs/>
        </w:rPr>
      </w:pPr>
    </w:p>
    <w:p w14:paraId="1A045A11" w14:textId="77777777" w:rsidR="006237B0" w:rsidRDefault="00A85B6E" w:rsidP="006237B0">
      <w:pPr>
        <w:rPr>
          <w:rFonts w:cs="Arial"/>
          <w:b/>
          <w:bCs/>
        </w:rPr>
      </w:pPr>
      <w:bookmarkStart w:id="74"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85B6E">
        <w:rPr>
          <w:rFonts w:cs="Arial"/>
          <w:b/>
          <w:bCs/>
        </w:rPr>
        <w:t>SiMR</w:t>
      </w:r>
      <w:proofErr w:type="spellEnd"/>
      <w:r w:rsidRPr="00A85B6E">
        <w:rPr>
          <w:rFonts w:cs="Arial"/>
          <w:b/>
          <w:bCs/>
        </w:rPr>
        <w:t xml:space="preserve">; (b) sustainability of systems improvement efforts; and/or (c) scale-up. </w:t>
      </w:r>
    </w:p>
    <w:bookmarkEnd w:id="74"/>
    <w:p w14:paraId="3400086E" w14:textId="77777777" w:rsidR="000379F6" w:rsidRDefault="00717461" w:rsidP="006237B0">
      <w:pPr>
        <w:rPr>
          <w:rFonts w:cs="Arial"/>
          <w:b/>
          <w:bCs/>
        </w:rPr>
      </w:pPr>
      <w:r w:rsidRPr="00ED172B">
        <w:rPr>
          <w:color w:val="000000" w:themeColor="text1"/>
        </w:rPr>
        <w:t>As reported in previous SSIPs, TEIS’s primary infrastructure improvement has focused on reducing Service Coordinator (SC) caseloads. In 2023–2024, TEIS implemented multiple strategies, including:</w:t>
      </w:r>
    </w:p>
    <w:p w14:paraId="00503E07" w14:textId="77777777" w:rsidR="007876EE" w:rsidRDefault="00000000">
      <w:r>
        <w:rPr>
          <w:color w:val="000000"/>
        </w:rPr>
        <w:t>-Strengthening oversight to the statewide service coordination team.</w:t>
      </w:r>
    </w:p>
    <w:p w14:paraId="216852C2" w14:textId="77777777" w:rsidR="007876EE" w:rsidRDefault="00000000">
      <w:r>
        <w:rPr>
          <w:color w:val="000000"/>
        </w:rPr>
        <w:t>-Maintaining dedicated efforts to fill vacant positions.</w:t>
      </w:r>
    </w:p>
    <w:p w14:paraId="3A3BA981" w14:textId="77777777" w:rsidR="007876EE" w:rsidRDefault="00000000">
      <w:r>
        <w:rPr>
          <w:color w:val="000000"/>
        </w:rPr>
        <w:t>-Implementing recruitment and retention initiatives.</w:t>
      </w:r>
    </w:p>
    <w:p w14:paraId="1DE2979A" w14:textId="77777777" w:rsidR="007876EE" w:rsidRDefault="007876EE"/>
    <w:p w14:paraId="18DEAB57" w14:textId="77777777" w:rsidR="007876EE" w:rsidRDefault="00000000">
      <w:r>
        <w:rPr>
          <w:color w:val="000000"/>
        </w:rPr>
        <w:t>These efforts have significantly reduced caseloads over time. Average caseloads by year:</w:t>
      </w:r>
    </w:p>
    <w:p w14:paraId="315FEB85" w14:textId="77777777" w:rsidR="007876EE" w:rsidRDefault="00000000">
      <w:r>
        <w:rPr>
          <w:color w:val="000000"/>
        </w:rPr>
        <w:t>2019–2020: 87</w:t>
      </w:r>
    </w:p>
    <w:p w14:paraId="47DB08A9" w14:textId="77777777" w:rsidR="007876EE" w:rsidRDefault="00000000">
      <w:r>
        <w:rPr>
          <w:color w:val="000000"/>
        </w:rPr>
        <w:t>2020–2021: 78</w:t>
      </w:r>
    </w:p>
    <w:p w14:paraId="38E80FD7" w14:textId="77777777" w:rsidR="007876EE" w:rsidRDefault="00000000">
      <w:r>
        <w:rPr>
          <w:color w:val="000000"/>
        </w:rPr>
        <w:t>2022–2023: 82</w:t>
      </w:r>
    </w:p>
    <w:p w14:paraId="39B479C8" w14:textId="77777777" w:rsidR="007876EE" w:rsidRDefault="00000000">
      <w:r>
        <w:rPr>
          <w:color w:val="000000"/>
        </w:rPr>
        <w:t>2023–2024: 63</w:t>
      </w:r>
    </w:p>
    <w:p w14:paraId="5BB0BCDB" w14:textId="77777777" w:rsidR="007876EE" w:rsidRDefault="00000000">
      <w:r>
        <w:rPr>
          <w:color w:val="000000"/>
        </w:rPr>
        <w:t>2024–2025: 58</w:t>
      </w:r>
    </w:p>
    <w:p w14:paraId="2649F72D" w14:textId="77777777" w:rsidR="007876EE" w:rsidRDefault="007876EE"/>
    <w:p w14:paraId="7E9C361C" w14:textId="77777777" w:rsidR="007876EE" w:rsidRDefault="00000000">
      <w:r>
        <w:rPr>
          <w:color w:val="000000"/>
        </w:rPr>
        <w:t>This downward trend demonstrates the positive impact of TEIS’s targeted strategies to improve service delivery and support for families.</w:t>
      </w:r>
    </w:p>
    <w:p w14:paraId="49D4DC4A" w14:textId="77777777" w:rsidR="009C2256" w:rsidRDefault="009C2256" w:rsidP="009C2256">
      <w:pPr>
        <w:rPr>
          <w:rFonts w:cs="Arial"/>
          <w:b/>
          <w:bCs/>
        </w:rPr>
      </w:pPr>
      <w:bookmarkStart w:id="75"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75"/>
    <w:p w14:paraId="0613D023" w14:textId="77777777" w:rsidR="000039B6" w:rsidRPr="000039B6" w:rsidRDefault="000039B6" w:rsidP="009C2256">
      <w:pPr>
        <w:rPr>
          <w:b/>
          <w:bCs/>
        </w:rPr>
      </w:pPr>
      <w:r w:rsidRPr="00ED172B">
        <w:rPr>
          <w:color w:val="000000" w:themeColor="text1"/>
        </w:rPr>
        <w:t>NO</w:t>
      </w:r>
    </w:p>
    <w:p w14:paraId="41248C9B" w14:textId="77777777" w:rsidR="00EB4B7B" w:rsidRPr="00EB4B7B" w:rsidRDefault="00EB4B7B" w:rsidP="00EB4B7B">
      <w:pPr>
        <w:rPr>
          <w:rFonts w:cs="Arial"/>
          <w:b/>
          <w:bCs/>
        </w:rPr>
      </w:pPr>
      <w:bookmarkStart w:id="76" w:name="_Hlk109647038"/>
      <w:r w:rsidRPr="00EB4B7B">
        <w:rPr>
          <w:rFonts w:cs="Arial"/>
          <w:b/>
          <w:bCs/>
        </w:rPr>
        <w:t xml:space="preserve">Provide a summary of the next steps for each infrastructure improvement strategy and the anticipated outcomes to be attained during the next reporting period. </w:t>
      </w:r>
    </w:p>
    <w:bookmarkEnd w:id="76"/>
    <w:p w14:paraId="3232F17F" w14:textId="77777777" w:rsidR="00370225" w:rsidRPr="005137B6" w:rsidRDefault="00370225" w:rsidP="00370225">
      <w:pPr>
        <w:rPr>
          <w:b/>
          <w:bCs/>
        </w:rPr>
      </w:pPr>
      <w:r w:rsidRPr="00ED172B">
        <w:rPr>
          <w:color w:val="000000" w:themeColor="text1"/>
        </w:rPr>
        <w:t xml:space="preserve">In the upcoming reporting period, TEIS will continue to focus on enhancements to TEIS staff and provider recruitment and retention efforts with dedicated efforts on the upcoming solicitation process for eligibility evaluation agencies beginning in January 2026. </w:t>
      </w:r>
    </w:p>
    <w:p w14:paraId="67677126" w14:textId="77777777" w:rsidR="009C2256" w:rsidRDefault="009C2256" w:rsidP="006237B0">
      <w:pPr>
        <w:rPr>
          <w:rFonts w:cs="Arial"/>
          <w:b/>
          <w:bCs/>
        </w:rPr>
      </w:pPr>
    </w:p>
    <w:p w14:paraId="066C9ABF" w14:textId="77777777" w:rsidR="0072398B" w:rsidRDefault="0072398B" w:rsidP="0072398B">
      <w:pPr>
        <w:rPr>
          <w:rFonts w:cs="Arial"/>
          <w:b/>
          <w:bCs/>
        </w:rPr>
      </w:pPr>
      <w:bookmarkStart w:id="77" w:name="_Hlk109647044"/>
      <w:r w:rsidRPr="0072398B">
        <w:rPr>
          <w:rFonts w:cs="Arial"/>
          <w:b/>
          <w:bCs/>
        </w:rPr>
        <w:t>List the selected evidence-based practices implemented in the reporting period:</w:t>
      </w:r>
    </w:p>
    <w:bookmarkEnd w:id="77"/>
    <w:p w14:paraId="0F793FFF" w14:textId="77777777" w:rsidR="00582D95" w:rsidRDefault="00582D95" w:rsidP="00582D95">
      <w:pPr>
        <w:rPr>
          <w:color w:val="000000" w:themeColor="text1"/>
        </w:rPr>
      </w:pPr>
      <w:r w:rsidRPr="00ED172B">
        <w:rPr>
          <w:color w:val="000000" w:themeColor="text1"/>
        </w:rPr>
        <w:t xml:space="preserve">-IFSP Teaming: All children served by TEIS have IFSP teams who communicate regularly and collaborate effectively to support the child's progress </w:t>
      </w:r>
    </w:p>
    <w:p w14:paraId="3998CC5D" w14:textId="77777777" w:rsidR="007876EE" w:rsidRDefault="00000000">
      <w:r>
        <w:rPr>
          <w:color w:val="000000"/>
        </w:rPr>
        <w:t xml:space="preserve">-Family-Centered Services: Services to children are delivered by professionals using evidence-based practices across a variety of service settings/modalities </w:t>
      </w:r>
    </w:p>
    <w:p w14:paraId="35E4E480" w14:textId="77777777" w:rsidR="007876EE" w:rsidRDefault="00000000">
      <w:r>
        <w:rPr>
          <w:color w:val="000000"/>
        </w:rPr>
        <w:t>-Early Childhood Outcomes (ECO) Data: Families and early intervention service providers base decisions on meaningful child progress data</w:t>
      </w:r>
    </w:p>
    <w:p w14:paraId="291EDEBD" w14:textId="77777777" w:rsidR="00047DA0" w:rsidRPr="005137B6" w:rsidRDefault="00047DA0" w:rsidP="00582D95">
      <w:pPr>
        <w:rPr>
          <w:b/>
          <w:bCs/>
        </w:rPr>
      </w:pPr>
    </w:p>
    <w:p w14:paraId="2053C324" w14:textId="77777777" w:rsidR="002679EA" w:rsidRDefault="00AB24A4" w:rsidP="00AB24A4">
      <w:pPr>
        <w:rPr>
          <w:rFonts w:cs="Arial"/>
          <w:b/>
          <w:bCs/>
        </w:rPr>
      </w:pPr>
      <w:bookmarkStart w:id="78" w:name="_Hlk109647049"/>
      <w:r w:rsidRPr="00AB24A4">
        <w:rPr>
          <w:rFonts w:cs="Arial"/>
          <w:b/>
          <w:bCs/>
        </w:rPr>
        <w:t>Provide a summary of each evidence-based practice.</w:t>
      </w:r>
    </w:p>
    <w:bookmarkEnd w:id="78"/>
    <w:p w14:paraId="487204AF" w14:textId="77777777" w:rsidR="002679EA" w:rsidRPr="005137B6" w:rsidRDefault="002679EA" w:rsidP="002679EA">
      <w:pPr>
        <w:rPr>
          <w:b/>
          <w:bCs/>
        </w:rPr>
      </w:pPr>
      <w:r w:rsidRPr="00ED172B">
        <w:rPr>
          <w:color w:val="000000" w:themeColor="text1"/>
        </w:rPr>
        <w:t xml:space="preserve">IFSP </w:t>
      </w:r>
      <w:proofErr w:type="gramStart"/>
      <w:r w:rsidRPr="00ED172B">
        <w:rPr>
          <w:color w:val="000000" w:themeColor="text1"/>
        </w:rPr>
        <w:t>Teaming :</w:t>
      </w:r>
      <w:proofErr w:type="gramEnd"/>
    </w:p>
    <w:p w14:paraId="592A87C9" w14:textId="77777777" w:rsidR="007876EE" w:rsidRDefault="00000000">
      <w:r>
        <w:rPr>
          <w:color w:val="000000"/>
        </w:rPr>
        <w:t xml:space="preserve">This improvement strategy was implemented to support each IFSP team member, including families in their role and eliminate barriers to communication. Past work on this strategy has included development of contract performance measures/payment structures to support IFSP meeting or other teaming opportunities, development of data system enhancements to capture co-visiting, and district-specific work on IFSP teaming goals. </w:t>
      </w:r>
    </w:p>
    <w:p w14:paraId="4FA81E88" w14:textId="77777777" w:rsidR="007876EE" w:rsidRDefault="00000000">
      <w:r>
        <w:rPr>
          <w:color w:val="000000"/>
        </w:rPr>
        <w:t xml:space="preserve"> </w:t>
      </w:r>
    </w:p>
    <w:p w14:paraId="7FA8328D" w14:textId="77777777" w:rsidR="007876EE" w:rsidRDefault="00000000">
      <w:r>
        <w:rPr>
          <w:color w:val="000000"/>
        </w:rPr>
        <w:t>Family-Centered Services:</w:t>
      </w:r>
    </w:p>
    <w:p w14:paraId="72A841AE" w14:textId="77777777" w:rsidR="007876EE" w:rsidRDefault="00000000">
      <w:r>
        <w:rPr>
          <w:color w:val="000000"/>
        </w:rPr>
        <w:lastRenderedPageBreak/>
        <w:t xml:space="preserve">This improvement strategy was selected to support the implementation of evidence-based practices within service delivery that </w:t>
      </w:r>
      <w:proofErr w:type="gramStart"/>
      <w:r>
        <w:rPr>
          <w:color w:val="000000"/>
        </w:rPr>
        <w:t>emphasizes</w:t>
      </w:r>
      <w:proofErr w:type="gramEnd"/>
      <w:r>
        <w:rPr>
          <w:color w:val="000000"/>
        </w:rPr>
        <w:t xml:space="preserve"> the role of the parent/caregiver in the intervention and working with the child and family to support their daily routines.   </w:t>
      </w:r>
    </w:p>
    <w:p w14:paraId="3BECB728" w14:textId="77777777" w:rsidR="007876EE" w:rsidRDefault="00000000">
      <w:r>
        <w:rPr>
          <w:color w:val="000000"/>
        </w:rPr>
        <w:t xml:space="preserve"> </w:t>
      </w:r>
    </w:p>
    <w:p w14:paraId="033B589F" w14:textId="77777777" w:rsidR="007876EE" w:rsidRDefault="00000000">
      <w:r>
        <w:rPr>
          <w:color w:val="000000"/>
        </w:rPr>
        <w:t>ECO Data:</w:t>
      </w:r>
    </w:p>
    <w:p w14:paraId="16C36C22" w14:textId="77777777" w:rsidR="007876EE" w:rsidRDefault="00000000">
      <w:r>
        <w:rPr>
          <w:color w:val="000000"/>
        </w:rPr>
        <w:t xml:space="preserve">This improvement strategy focuses on efforts to improve the quality of the ECO/child progress data available to IFSP teams. Work on this strategy has resulted in moving from professional judgement to the implementation of a single instrument for eligibility, ongoing child progress towards goals, and ECO data. </w:t>
      </w:r>
    </w:p>
    <w:p w14:paraId="621819D0" w14:textId="77777777" w:rsidR="00AB24A4" w:rsidRPr="00AB24A4" w:rsidRDefault="00AB24A4" w:rsidP="00AB24A4">
      <w:pPr>
        <w:rPr>
          <w:rFonts w:cs="Arial"/>
          <w:b/>
          <w:bCs/>
        </w:rPr>
      </w:pPr>
      <w:r w:rsidRPr="00AB24A4">
        <w:rPr>
          <w:rFonts w:cs="Arial"/>
          <w:b/>
          <w:bCs/>
        </w:rPr>
        <w:t xml:space="preserve"> </w:t>
      </w:r>
    </w:p>
    <w:p w14:paraId="51A319A7" w14:textId="77777777" w:rsidR="00F05ED0" w:rsidRDefault="00B8661E" w:rsidP="00B8661E">
      <w:pPr>
        <w:rPr>
          <w:rFonts w:cs="Arial"/>
          <w:b/>
          <w:bCs/>
        </w:rPr>
      </w:pPr>
      <w:bookmarkStart w:id="79" w:name="_Hlk109647058"/>
      <w:proofErr w:type="gramStart"/>
      <w:r w:rsidRPr="00B8661E">
        <w:rPr>
          <w:rFonts w:cs="Arial"/>
          <w:b/>
          <w:bCs/>
        </w:rPr>
        <w:t>Provide</w:t>
      </w:r>
      <w:proofErr w:type="gramEnd"/>
      <w:r w:rsidRPr="00B8661E">
        <w:rPr>
          <w:rFonts w:cs="Arial"/>
          <w:b/>
          <w:bCs/>
        </w:rPr>
        <w:t xml:space="preserve"> a summary of how each evidence-based practices and activities or strategies that support its use, is intended to impact the </w:t>
      </w:r>
      <w:proofErr w:type="spellStart"/>
      <w:r w:rsidRPr="00B8661E">
        <w:rPr>
          <w:rFonts w:cs="Arial"/>
          <w:b/>
          <w:bCs/>
        </w:rPr>
        <w:t>SiMR</w:t>
      </w:r>
      <w:proofErr w:type="spellEnd"/>
      <w:r w:rsidRPr="00B8661E">
        <w:rPr>
          <w:rFonts w:cs="Arial"/>
          <w:b/>
          <w:bCs/>
        </w:rPr>
        <w:t xml:space="preserve"> by changing program/district policies, procedures, and/or practices, teacher/provider practices (e.g., behaviors), parent/caregiver outcomes, and/or child/outcomes. </w:t>
      </w:r>
    </w:p>
    <w:bookmarkEnd w:id="79"/>
    <w:p w14:paraId="791BF461" w14:textId="77777777" w:rsidR="00F05ED0" w:rsidRPr="005137B6" w:rsidRDefault="00F05ED0" w:rsidP="00F05ED0">
      <w:pPr>
        <w:rPr>
          <w:b/>
          <w:bCs/>
        </w:rPr>
      </w:pPr>
      <w:r w:rsidRPr="00ED172B">
        <w:rPr>
          <w:color w:val="000000" w:themeColor="text1"/>
        </w:rPr>
        <w:t>Refer to the introduction of the APR for details on specific training, technical assistance, and professional development activities conducted during 2024–25 to support these improvement strategies.</w:t>
      </w:r>
    </w:p>
    <w:p w14:paraId="407B2FD7" w14:textId="77777777" w:rsidR="007876EE" w:rsidRDefault="007876EE"/>
    <w:p w14:paraId="50E715A9" w14:textId="77777777" w:rsidR="007876EE" w:rsidRDefault="00000000">
      <w:r>
        <w:rPr>
          <w:color w:val="000000"/>
        </w:rPr>
        <w:t>IFSP Teaming</w:t>
      </w:r>
    </w:p>
    <w:p w14:paraId="4C36C3F8" w14:textId="77777777" w:rsidR="007876EE" w:rsidRDefault="00000000">
      <w:r>
        <w:rPr>
          <w:color w:val="000000"/>
        </w:rPr>
        <w:t>The goal of this strategy is to ensure all children served by TEIS have IFSP teams that communicate regularly and collaborate effectively to support the child’s progress.</w:t>
      </w:r>
    </w:p>
    <w:p w14:paraId="6C08D72F" w14:textId="77777777" w:rsidR="007876EE" w:rsidRDefault="00000000">
      <w:r>
        <w:rPr>
          <w:color w:val="000000"/>
        </w:rPr>
        <w:t>Work in 2024–25 included:</w:t>
      </w:r>
    </w:p>
    <w:p w14:paraId="2A341AF7" w14:textId="77777777" w:rsidR="007876EE" w:rsidRDefault="00000000">
      <w:r>
        <w:rPr>
          <w:color w:val="000000"/>
        </w:rPr>
        <w:t>-Continued implementation of a comprehensive training plan for TEIS staff and providers.</w:t>
      </w:r>
    </w:p>
    <w:p w14:paraId="2BFB36FF" w14:textId="77777777" w:rsidR="007876EE" w:rsidRDefault="00000000">
      <w:r>
        <w:rPr>
          <w:color w:val="000000"/>
        </w:rPr>
        <w:t>-Opportunities for regular communication between TEIS leadership, staff, and early intervention service providers.</w:t>
      </w:r>
    </w:p>
    <w:p w14:paraId="5F799021" w14:textId="77777777" w:rsidR="007876EE" w:rsidRDefault="00000000">
      <w:r>
        <w:rPr>
          <w:color w:val="000000"/>
        </w:rPr>
        <w:t>-Ensuring IFSP team members receive timely, accurate, and consistent guidance, supported by accessible guidance manuals.</w:t>
      </w:r>
    </w:p>
    <w:p w14:paraId="559B245E" w14:textId="77777777" w:rsidR="007876EE" w:rsidRDefault="007876EE"/>
    <w:p w14:paraId="3BCF16F2" w14:textId="77777777" w:rsidR="007876EE" w:rsidRDefault="00000000">
      <w:r>
        <w:rPr>
          <w:color w:val="000000"/>
        </w:rPr>
        <w:t>TEIS also continued its Time for Teaming initiative. Previously, three regional events (West, Middle, East) were held annually; this year, events were scheduled on an 18-month cycle.</w:t>
      </w:r>
    </w:p>
    <w:p w14:paraId="12B011DE" w14:textId="77777777" w:rsidR="007876EE" w:rsidRDefault="007876EE"/>
    <w:p w14:paraId="07AA1DDC" w14:textId="77777777" w:rsidR="007876EE" w:rsidRDefault="00000000">
      <w:r>
        <w:rPr>
          <w:color w:val="000000"/>
        </w:rPr>
        <w:t>During this timeframe, one event was held in West Tennessee, focusing on individualized content developed by regional staff. Parents participated in presentations, sharing firsthand experiences and feedback.</w:t>
      </w:r>
    </w:p>
    <w:p w14:paraId="24483AD8" w14:textId="77777777" w:rsidR="007876EE" w:rsidRDefault="007876EE"/>
    <w:p w14:paraId="0206339C" w14:textId="77777777" w:rsidR="007876EE" w:rsidRDefault="00000000">
      <w:r>
        <w:rPr>
          <w:color w:val="000000"/>
        </w:rPr>
        <w:t>Attendance: 218 participants, including parents, Service Coordinators, POE leadership, EIRA leadership and staff, eligibility evaluation staff, therapy vendors, and TEIS leadership.</w:t>
      </w:r>
    </w:p>
    <w:p w14:paraId="42F6918F" w14:textId="77777777" w:rsidR="007876EE" w:rsidRDefault="007876EE"/>
    <w:p w14:paraId="083AE309" w14:textId="77777777" w:rsidR="007876EE" w:rsidRDefault="00000000">
      <w:r>
        <w:rPr>
          <w:color w:val="000000"/>
        </w:rPr>
        <w:t>Family-Centered Services</w:t>
      </w:r>
    </w:p>
    <w:p w14:paraId="562490B5" w14:textId="77777777" w:rsidR="007876EE" w:rsidRDefault="00000000">
      <w:r>
        <w:rPr>
          <w:color w:val="000000"/>
        </w:rPr>
        <w:t>The goal of this strategy is to ensure services are delivered using evidence-based practices and to provide families with a range of early intervention options across settings and modalities, including home and community visits, telehealth, and other formats.</w:t>
      </w:r>
    </w:p>
    <w:p w14:paraId="53D051AF" w14:textId="77777777" w:rsidR="007876EE" w:rsidRDefault="007876EE"/>
    <w:p w14:paraId="79DA8FEC" w14:textId="77777777" w:rsidR="007876EE" w:rsidRDefault="00000000">
      <w:r>
        <w:rPr>
          <w:color w:val="000000"/>
        </w:rPr>
        <w:t xml:space="preserve">These efforts support the </w:t>
      </w:r>
      <w:proofErr w:type="spellStart"/>
      <w:r>
        <w:rPr>
          <w:color w:val="000000"/>
        </w:rPr>
        <w:t>SiMR</w:t>
      </w:r>
      <w:proofErr w:type="spellEnd"/>
      <w:r>
        <w:rPr>
          <w:color w:val="000000"/>
        </w:rPr>
        <w:t xml:space="preserve"> by promoting service delivery aligned with family needs, routines, and preferences.</w:t>
      </w:r>
    </w:p>
    <w:p w14:paraId="50D03969" w14:textId="77777777" w:rsidR="007876EE" w:rsidRDefault="00000000">
      <w:r>
        <w:rPr>
          <w:color w:val="000000"/>
        </w:rPr>
        <w:t>Key activities in 2024–25 included:</w:t>
      </w:r>
    </w:p>
    <w:p w14:paraId="5F37418A" w14:textId="77777777" w:rsidR="007876EE" w:rsidRDefault="007876EE"/>
    <w:p w14:paraId="65DA4783" w14:textId="77777777" w:rsidR="007876EE" w:rsidRDefault="00000000">
      <w:r>
        <w:rPr>
          <w:color w:val="000000"/>
        </w:rPr>
        <w:t>-Early Intervention Endorsement Intro Course: Completed by 77 students across five state universities, with plans to expand statewide.</w:t>
      </w:r>
    </w:p>
    <w:p w14:paraId="01F65A84" w14:textId="77777777" w:rsidR="007876EE" w:rsidRDefault="00000000">
      <w:r>
        <w:rPr>
          <w:color w:val="000000"/>
        </w:rPr>
        <w:t>-Development of recruitment tools, including one-page materials for seven disciplines, and planned dissemination through Advisory Councils.</w:t>
      </w:r>
    </w:p>
    <w:p w14:paraId="62FB18F9" w14:textId="77777777" w:rsidR="007876EE" w:rsidRDefault="00000000">
      <w:r>
        <w:rPr>
          <w:color w:val="000000"/>
        </w:rPr>
        <w:t>-Website updates to ensure ADA compliance.</w:t>
      </w:r>
    </w:p>
    <w:p w14:paraId="55F9E9F1" w14:textId="77777777" w:rsidR="007876EE" w:rsidRDefault="00000000">
      <w:r>
        <w:rPr>
          <w:color w:val="000000"/>
        </w:rPr>
        <w:t>-Monthly family-focused Lunch &amp; Learns.</w:t>
      </w:r>
    </w:p>
    <w:p w14:paraId="6F909917" w14:textId="77777777" w:rsidR="007876EE" w:rsidRDefault="00000000">
      <w:r>
        <w:rPr>
          <w:color w:val="000000"/>
        </w:rPr>
        <w:t>-Internal training for TEIS staff.</w:t>
      </w:r>
    </w:p>
    <w:p w14:paraId="194DFFB1" w14:textId="77777777" w:rsidR="007876EE" w:rsidRDefault="00000000">
      <w:r>
        <w:rPr>
          <w:color w:val="000000"/>
        </w:rPr>
        <w:t>-FGRBI-based vendor visits to reinforce evidence-based practices.</w:t>
      </w:r>
    </w:p>
    <w:p w14:paraId="6056F859" w14:textId="77777777" w:rsidR="00B8661E" w:rsidRPr="00B8661E" w:rsidRDefault="00B8661E" w:rsidP="00B8661E">
      <w:pPr>
        <w:rPr>
          <w:rFonts w:cs="Arial"/>
          <w:b/>
          <w:bCs/>
        </w:rPr>
      </w:pPr>
      <w:r w:rsidRPr="00B8661E">
        <w:rPr>
          <w:rFonts w:cs="Arial"/>
          <w:b/>
          <w:bCs/>
        </w:rPr>
        <w:t xml:space="preserve"> </w:t>
      </w:r>
    </w:p>
    <w:p w14:paraId="03826060" w14:textId="77777777" w:rsidR="00F008FE" w:rsidRDefault="00F008FE" w:rsidP="00F008FE">
      <w:pPr>
        <w:rPr>
          <w:rFonts w:cs="Arial"/>
          <w:b/>
          <w:bCs/>
        </w:rPr>
      </w:pPr>
      <w:bookmarkStart w:id="80" w:name="_Hlk109647063"/>
      <w:r w:rsidRPr="00F008FE">
        <w:rPr>
          <w:rFonts w:cs="Arial"/>
          <w:b/>
          <w:bCs/>
        </w:rPr>
        <w:t xml:space="preserve">Describe the data collected to monitor fidelity of implementation and to assess practice change. </w:t>
      </w:r>
    </w:p>
    <w:bookmarkEnd w:id="80"/>
    <w:p w14:paraId="3BB807E2" w14:textId="77777777" w:rsidR="0051509A" w:rsidRPr="005137B6" w:rsidRDefault="0051509A" w:rsidP="0051509A">
      <w:pPr>
        <w:rPr>
          <w:b/>
          <w:bCs/>
        </w:rPr>
      </w:pPr>
      <w:r w:rsidRPr="00ED172B">
        <w:rPr>
          <w:color w:val="000000" w:themeColor="text1"/>
        </w:rPr>
        <w:t>IFSP Teaming and Participation</w:t>
      </w:r>
    </w:p>
    <w:p w14:paraId="1E134E1B" w14:textId="77777777" w:rsidR="007876EE" w:rsidRDefault="00000000">
      <w:r>
        <w:rPr>
          <w:color w:val="000000"/>
        </w:rPr>
        <w:t xml:space="preserve">In 2023–24, TEIS established new baselines for IFSP team member participation in annual IFSP meetings due to changes in service delivery during the COVID-19 pandemic and the expansion of telehealth options. IFSP team member participation data was analyzed for all annual IFSP meetings occurring within one month each year as follows: </w:t>
      </w:r>
    </w:p>
    <w:p w14:paraId="65A835F3" w14:textId="77777777" w:rsidR="007876EE" w:rsidRDefault="00000000">
      <w:r>
        <w:rPr>
          <w:color w:val="000000"/>
        </w:rPr>
        <w:t xml:space="preserve">-Total number of meetings reviewed: 570 in 2023–24 and 760 in 2024–25. </w:t>
      </w:r>
    </w:p>
    <w:p w14:paraId="012AAACF" w14:textId="77777777" w:rsidR="007876EE" w:rsidRDefault="007876EE"/>
    <w:p w14:paraId="5CE78085" w14:textId="77777777" w:rsidR="007876EE" w:rsidRDefault="00000000">
      <w:r>
        <w:rPr>
          <w:color w:val="000000"/>
        </w:rPr>
        <w:t xml:space="preserve">Percentage of team members attending was comparable for each type from 2023-24 to 2024-25: </w:t>
      </w:r>
    </w:p>
    <w:p w14:paraId="383A466F" w14:textId="77777777" w:rsidR="007876EE" w:rsidRDefault="00000000">
      <w:r>
        <w:rPr>
          <w:color w:val="000000"/>
        </w:rPr>
        <w:t>-Developmental Therapist: 54% (2023-24) and 51% (2024-25)</w:t>
      </w:r>
    </w:p>
    <w:p w14:paraId="2EACE6A5" w14:textId="77777777" w:rsidR="007876EE" w:rsidRDefault="00000000">
      <w:r>
        <w:rPr>
          <w:color w:val="000000"/>
        </w:rPr>
        <w:t>-Developmental Evaluator: 42% (2023-24) and 41% (2024-25)</w:t>
      </w:r>
    </w:p>
    <w:p w14:paraId="3A190502" w14:textId="77777777" w:rsidR="007876EE" w:rsidRDefault="00000000">
      <w:r>
        <w:rPr>
          <w:color w:val="000000"/>
        </w:rPr>
        <w:t>-Interpreter: 5% (2023-24) and 4% (2024-25)</w:t>
      </w:r>
    </w:p>
    <w:p w14:paraId="6CE1F8FD" w14:textId="77777777" w:rsidR="007876EE" w:rsidRDefault="00000000">
      <w:r>
        <w:rPr>
          <w:color w:val="000000"/>
        </w:rPr>
        <w:t>-Vendor (SLP, OT, PT): 2% (2023-24) and 8% (2024-25)</w:t>
      </w:r>
    </w:p>
    <w:p w14:paraId="3419E4E4" w14:textId="77777777" w:rsidR="007876EE" w:rsidRDefault="00000000">
      <w:r>
        <w:rPr>
          <w:color w:val="000000"/>
        </w:rPr>
        <w:t>-Parents and Service Coordinators: 100% attendance both years</w:t>
      </w:r>
    </w:p>
    <w:p w14:paraId="606ED6B8" w14:textId="77777777" w:rsidR="007876EE" w:rsidRDefault="007876EE"/>
    <w:p w14:paraId="17302D29" w14:textId="77777777" w:rsidR="007876EE" w:rsidRDefault="00000000">
      <w:r>
        <w:rPr>
          <w:color w:val="000000"/>
        </w:rPr>
        <w:t>IFSP Review Requests</w:t>
      </w:r>
    </w:p>
    <w:p w14:paraId="2E4128FB" w14:textId="77777777" w:rsidR="007876EE" w:rsidRDefault="00000000">
      <w:r>
        <w:rPr>
          <w:color w:val="000000"/>
        </w:rPr>
        <w:t>TEIS analyzed requests for IFSP review meetings outside the regular six-month or annual cycle. In one month, 2,308 reviews were held. Top reasons:</w:t>
      </w:r>
    </w:p>
    <w:p w14:paraId="14CDE9AC" w14:textId="77777777" w:rsidR="007876EE" w:rsidRDefault="007876EE"/>
    <w:p w14:paraId="3A8A1FB6" w14:textId="77777777" w:rsidR="007876EE" w:rsidRDefault="00000000">
      <w:r>
        <w:rPr>
          <w:color w:val="000000"/>
        </w:rPr>
        <w:lastRenderedPageBreak/>
        <w:t>Adding a service after provider evaluation (28%)</w:t>
      </w:r>
    </w:p>
    <w:p w14:paraId="5FEF53BF" w14:textId="77777777" w:rsidR="007876EE" w:rsidRDefault="00000000">
      <w:r>
        <w:rPr>
          <w:color w:val="000000"/>
        </w:rPr>
        <w:t>Adding a provider evaluation to an IFSP (17%)</w:t>
      </w:r>
    </w:p>
    <w:p w14:paraId="7B6C9CED" w14:textId="77777777" w:rsidR="007876EE" w:rsidRDefault="00000000">
      <w:r>
        <w:rPr>
          <w:color w:val="000000"/>
        </w:rPr>
        <w:t>Adjusting service frequency, intensity, duration, or setting (15%)</w:t>
      </w:r>
    </w:p>
    <w:p w14:paraId="10CD2870" w14:textId="77777777" w:rsidR="007876EE" w:rsidRDefault="007876EE"/>
    <w:p w14:paraId="2994F960" w14:textId="77777777" w:rsidR="007876EE" w:rsidRDefault="00000000">
      <w:r>
        <w:rPr>
          <w:color w:val="000000"/>
        </w:rPr>
        <w:t>Most reviews were family-driven, and opportunities to reduce these through improved teaming were limited. As this measure did not yield anticipated outcomes, TEIS will no longer report on it in future SSIPs.</w:t>
      </w:r>
    </w:p>
    <w:p w14:paraId="532FA38D" w14:textId="77777777" w:rsidR="007876EE" w:rsidRDefault="007876EE"/>
    <w:p w14:paraId="65A24398" w14:textId="77777777" w:rsidR="007876EE" w:rsidRDefault="00000000">
      <w:r>
        <w:rPr>
          <w:color w:val="000000"/>
        </w:rPr>
        <w:t>Time for Teaming</w:t>
      </w:r>
    </w:p>
    <w:p w14:paraId="1D080339" w14:textId="77777777" w:rsidR="007876EE" w:rsidRDefault="00000000">
      <w:r>
        <w:rPr>
          <w:color w:val="000000"/>
        </w:rPr>
        <w:t>In 2024–25, TEIS hosted one Time for Teaming event in West Tennessee, focusing on evidence-based, family-centered service delivery.</w:t>
      </w:r>
    </w:p>
    <w:p w14:paraId="577075DA" w14:textId="77777777" w:rsidR="007876EE" w:rsidRDefault="00000000">
      <w:r>
        <w:rPr>
          <w:color w:val="000000"/>
        </w:rPr>
        <w:t>Attendance: 218 participants (EIRA leadership/staff 65%, TEIS staff 30%, TEIS leadership 6%, vendors &lt;1%).</w:t>
      </w:r>
    </w:p>
    <w:p w14:paraId="1066055D" w14:textId="77777777" w:rsidR="007876EE" w:rsidRDefault="007876EE"/>
    <w:p w14:paraId="34E87A1B" w14:textId="77777777" w:rsidR="007876EE" w:rsidRDefault="00000000">
      <w:r>
        <w:rPr>
          <w:color w:val="000000"/>
        </w:rPr>
        <w:t>Attendee survey results:</w:t>
      </w:r>
    </w:p>
    <w:p w14:paraId="55A135EC" w14:textId="77777777" w:rsidR="007876EE" w:rsidRDefault="00000000">
      <w:r>
        <w:rPr>
          <w:color w:val="000000"/>
        </w:rPr>
        <w:t>-64% agreed activities were engaging and relevant.</w:t>
      </w:r>
    </w:p>
    <w:p w14:paraId="249E8FF4" w14:textId="77777777" w:rsidR="007876EE" w:rsidRDefault="00000000">
      <w:r>
        <w:rPr>
          <w:color w:val="000000"/>
        </w:rPr>
        <w:t>-79% agreed panels provided valuable insights.</w:t>
      </w:r>
    </w:p>
    <w:p w14:paraId="720548B9" w14:textId="77777777" w:rsidR="007876EE" w:rsidRDefault="00000000">
      <w:r>
        <w:rPr>
          <w:color w:val="000000"/>
        </w:rPr>
        <w:t>-74% planned to apply what they learned.</w:t>
      </w:r>
    </w:p>
    <w:p w14:paraId="4FC3CD2E" w14:textId="77777777" w:rsidR="007876EE" w:rsidRDefault="00000000">
      <w:r>
        <w:rPr>
          <w:color w:val="000000"/>
        </w:rPr>
        <w:t>-84% said attending was worthwhile.</w:t>
      </w:r>
    </w:p>
    <w:p w14:paraId="25A32DD0" w14:textId="77777777" w:rsidR="007876EE" w:rsidRDefault="007876EE"/>
    <w:p w14:paraId="00213EB6" w14:textId="77777777" w:rsidR="007876EE" w:rsidRDefault="00000000">
      <w:r>
        <w:rPr>
          <w:color w:val="000000"/>
        </w:rPr>
        <w:t>Two additional regional events will occur in 2025–26.</w:t>
      </w:r>
    </w:p>
    <w:p w14:paraId="166F7DCC" w14:textId="77777777" w:rsidR="007876EE" w:rsidRDefault="007876EE"/>
    <w:p w14:paraId="4E39BEFF" w14:textId="77777777" w:rsidR="007876EE" w:rsidRDefault="00000000">
      <w:r>
        <w:rPr>
          <w:color w:val="000000"/>
        </w:rPr>
        <w:t>Training and Professional Development</w:t>
      </w:r>
    </w:p>
    <w:p w14:paraId="18611436" w14:textId="77777777" w:rsidR="007876EE" w:rsidRDefault="00000000">
      <w:r>
        <w:rPr>
          <w:color w:val="000000"/>
        </w:rPr>
        <w:t>In 2024–25, the Staff and Provider Engagement Team delivered:</w:t>
      </w:r>
    </w:p>
    <w:p w14:paraId="5F5123EC" w14:textId="77777777" w:rsidR="007876EE" w:rsidRDefault="00000000">
      <w:r>
        <w:rPr>
          <w:color w:val="000000"/>
        </w:rPr>
        <w:t xml:space="preserve">-48 </w:t>
      </w:r>
      <w:proofErr w:type="gramStart"/>
      <w:r>
        <w:rPr>
          <w:color w:val="000000"/>
        </w:rPr>
        <w:t>trainings</w:t>
      </w:r>
      <w:proofErr w:type="gramEnd"/>
      <w:r>
        <w:rPr>
          <w:color w:val="000000"/>
        </w:rPr>
        <w:t xml:space="preserve"> with an average of 47 participants each.</w:t>
      </w:r>
    </w:p>
    <w:p w14:paraId="46DBF970" w14:textId="77777777" w:rsidR="007876EE" w:rsidRDefault="00000000">
      <w:r>
        <w:rPr>
          <w:color w:val="000000"/>
        </w:rPr>
        <w:t>-1,696 survey responses showed 86% high satisfaction.</w:t>
      </w:r>
    </w:p>
    <w:p w14:paraId="7FFD1C51" w14:textId="77777777" w:rsidR="007876EE" w:rsidRDefault="007876EE"/>
    <w:p w14:paraId="2C345F71" w14:textId="77777777" w:rsidR="007876EE" w:rsidRDefault="00000000">
      <w:r>
        <w:rPr>
          <w:color w:val="000000"/>
        </w:rPr>
        <w:t>Questions included:</w:t>
      </w:r>
    </w:p>
    <w:p w14:paraId="703E2A05" w14:textId="77777777" w:rsidR="007876EE" w:rsidRDefault="00000000">
      <w:proofErr w:type="gramStart"/>
      <w:r>
        <w:rPr>
          <w:color w:val="000000"/>
        </w:rPr>
        <w:t>-“</w:t>
      </w:r>
      <w:proofErr w:type="gramEnd"/>
      <w:r>
        <w:rPr>
          <w:color w:val="000000"/>
        </w:rPr>
        <w:t>This course was clearly presented.”</w:t>
      </w:r>
    </w:p>
    <w:p w14:paraId="1BDEF5F5" w14:textId="77777777" w:rsidR="007876EE" w:rsidRDefault="00000000">
      <w:proofErr w:type="gramStart"/>
      <w:r>
        <w:rPr>
          <w:color w:val="000000"/>
        </w:rPr>
        <w:t>-“</w:t>
      </w:r>
      <w:proofErr w:type="gramEnd"/>
      <w:r>
        <w:rPr>
          <w:color w:val="000000"/>
        </w:rPr>
        <w:t>I am more equipped to perform my job after taking this course.”</w:t>
      </w:r>
    </w:p>
    <w:p w14:paraId="538E8075" w14:textId="77777777" w:rsidR="007876EE" w:rsidRDefault="007876EE"/>
    <w:p w14:paraId="1CE2FB26" w14:textId="77777777" w:rsidR="007876EE" w:rsidRDefault="00000000">
      <w:r>
        <w:rPr>
          <w:color w:val="000000"/>
        </w:rPr>
        <w:t xml:space="preserve">These efforts strengthen IFSP </w:t>
      </w:r>
      <w:proofErr w:type="gramStart"/>
      <w:r>
        <w:rPr>
          <w:color w:val="000000"/>
        </w:rPr>
        <w:t>team</w:t>
      </w:r>
      <w:proofErr w:type="gramEnd"/>
      <w:r>
        <w:rPr>
          <w:color w:val="000000"/>
        </w:rPr>
        <w:t xml:space="preserve"> communication and collaboration.</w:t>
      </w:r>
    </w:p>
    <w:p w14:paraId="4AC990D5" w14:textId="77777777" w:rsidR="007876EE" w:rsidRDefault="007876EE"/>
    <w:p w14:paraId="31C625C7" w14:textId="77777777" w:rsidR="007876EE" w:rsidRDefault="00000000">
      <w:r>
        <w:rPr>
          <w:color w:val="000000"/>
        </w:rPr>
        <w:t>Vendor Expansion and Data Entry</w:t>
      </w:r>
    </w:p>
    <w:p w14:paraId="19A41A70" w14:textId="77777777" w:rsidR="007876EE" w:rsidRDefault="00000000">
      <w:r>
        <w:rPr>
          <w:color w:val="000000"/>
        </w:rPr>
        <w:t xml:space="preserve">-TEIS continues to expand vendor capacity and </w:t>
      </w:r>
      <w:proofErr w:type="gramStart"/>
      <w:r>
        <w:rPr>
          <w:color w:val="000000"/>
        </w:rPr>
        <w:t>encourage</w:t>
      </w:r>
      <w:proofErr w:type="gramEnd"/>
      <w:r>
        <w:rPr>
          <w:color w:val="000000"/>
        </w:rPr>
        <w:t xml:space="preserve"> providers to increase service hours, especially in underserved areas.</w:t>
      </w:r>
    </w:p>
    <w:p w14:paraId="4796F7AE" w14:textId="77777777" w:rsidR="007876EE" w:rsidRDefault="007876EE"/>
    <w:p w14:paraId="05A8A282" w14:textId="77777777" w:rsidR="007876EE" w:rsidRDefault="00000000">
      <w:r>
        <w:rPr>
          <w:color w:val="000000"/>
        </w:rPr>
        <w:t>Key actions:</w:t>
      </w:r>
    </w:p>
    <w:p w14:paraId="316F15F7" w14:textId="77777777" w:rsidR="007876EE" w:rsidRDefault="00000000">
      <w:proofErr w:type="gramStart"/>
      <w:r>
        <w:rPr>
          <w:color w:val="000000"/>
        </w:rPr>
        <w:t>-An administrative</w:t>
      </w:r>
      <w:proofErr w:type="gramEnd"/>
      <w:r>
        <w:rPr>
          <w:color w:val="000000"/>
        </w:rPr>
        <w:t xml:space="preserve"> fee implemented July 1, 2024, for timely service entry into TEIDS to improve IFSP team collaboration and progress tracking.</w:t>
      </w:r>
    </w:p>
    <w:p w14:paraId="0DAA7C2D" w14:textId="77777777" w:rsidR="007876EE" w:rsidRDefault="00000000">
      <w:r>
        <w:rPr>
          <w:color w:val="000000"/>
        </w:rPr>
        <w:t>-34 vendor billing trainings held to improve invoicing processes.</w:t>
      </w:r>
    </w:p>
    <w:p w14:paraId="606A7CD9" w14:textId="77777777" w:rsidR="007876EE" w:rsidRDefault="00000000">
      <w:r>
        <w:rPr>
          <w:color w:val="000000"/>
        </w:rPr>
        <w:t>-New contract cycle (2025) introduced incentives for timely data entry, resulting in a significant increase in compliance.</w:t>
      </w:r>
    </w:p>
    <w:p w14:paraId="70447B01" w14:textId="77777777" w:rsidR="007876EE" w:rsidRDefault="007876EE"/>
    <w:p w14:paraId="0E2FBDF7" w14:textId="77777777" w:rsidR="007876EE" w:rsidRDefault="00000000">
      <w:r>
        <w:rPr>
          <w:color w:val="000000"/>
        </w:rPr>
        <w:t>Family-Centered Services</w:t>
      </w:r>
    </w:p>
    <w:p w14:paraId="58977616" w14:textId="77777777" w:rsidR="007876EE" w:rsidRDefault="00000000">
      <w:r>
        <w:rPr>
          <w:color w:val="000000"/>
        </w:rPr>
        <w:t>TEIS contracted with:</w:t>
      </w:r>
    </w:p>
    <w:p w14:paraId="4599FD2A" w14:textId="77777777" w:rsidR="007876EE" w:rsidRDefault="00000000">
      <w:r>
        <w:rPr>
          <w:color w:val="000000"/>
        </w:rPr>
        <w:t>-153 therapy vendor agencies (11 new, 17 expanded services/settings)</w:t>
      </w:r>
    </w:p>
    <w:p w14:paraId="3F91FF90" w14:textId="77777777" w:rsidR="007876EE" w:rsidRDefault="00000000">
      <w:r>
        <w:rPr>
          <w:color w:val="000000"/>
        </w:rPr>
        <w:t>-17 assistive technology vendors</w:t>
      </w:r>
    </w:p>
    <w:p w14:paraId="5F05FFD7" w14:textId="77777777" w:rsidR="007876EE" w:rsidRDefault="00000000">
      <w:r>
        <w:rPr>
          <w:color w:val="000000"/>
        </w:rPr>
        <w:t>-15 interpreters for 12+ languages</w:t>
      </w:r>
    </w:p>
    <w:p w14:paraId="0434D4B8" w14:textId="77777777" w:rsidR="007876EE" w:rsidRDefault="00000000">
      <w:r>
        <w:rPr>
          <w:color w:val="000000"/>
        </w:rPr>
        <w:t>-34 EIRAs providing home/community developmental therapy</w:t>
      </w:r>
    </w:p>
    <w:p w14:paraId="79D142C0" w14:textId="77777777" w:rsidR="007876EE" w:rsidRDefault="00000000">
      <w:r>
        <w:rPr>
          <w:color w:val="000000"/>
        </w:rPr>
        <w:t>-9 EIRAs providing center-based developmental therapy</w:t>
      </w:r>
    </w:p>
    <w:p w14:paraId="6BFAAA85" w14:textId="77777777" w:rsidR="007876EE" w:rsidRDefault="007876EE"/>
    <w:p w14:paraId="0A6CAA61" w14:textId="77777777" w:rsidR="007876EE" w:rsidRDefault="00000000">
      <w:r>
        <w:rPr>
          <w:color w:val="000000"/>
        </w:rPr>
        <w:t>Service Coordinator Caseloads</w:t>
      </w:r>
    </w:p>
    <w:p w14:paraId="05D0FAAC" w14:textId="77777777" w:rsidR="007876EE" w:rsidRDefault="00000000">
      <w:r>
        <w:rPr>
          <w:color w:val="000000"/>
        </w:rPr>
        <w:t xml:space="preserve">Average caseloads have steadily decreased as mentioned in the infrastructure improvements: </w:t>
      </w:r>
    </w:p>
    <w:p w14:paraId="3D2D4B23" w14:textId="77777777" w:rsidR="007876EE" w:rsidRDefault="007876EE"/>
    <w:p w14:paraId="0DA84F77" w14:textId="77777777" w:rsidR="007876EE" w:rsidRDefault="00000000">
      <w:r>
        <w:rPr>
          <w:color w:val="000000"/>
        </w:rPr>
        <w:t>-2021–22: 82</w:t>
      </w:r>
    </w:p>
    <w:p w14:paraId="0CFD423A" w14:textId="77777777" w:rsidR="007876EE" w:rsidRDefault="00000000">
      <w:r>
        <w:rPr>
          <w:color w:val="000000"/>
        </w:rPr>
        <w:t>-2022–23: 61</w:t>
      </w:r>
    </w:p>
    <w:p w14:paraId="6AE2752C" w14:textId="77777777" w:rsidR="007876EE" w:rsidRDefault="00000000">
      <w:r>
        <w:rPr>
          <w:color w:val="000000"/>
        </w:rPr>
        <w:t>-2023–24: 63</w:t>
      </w:r>
    </w:p>
    <w:p w14:paraId="0CB60B7A" w14:textId="77777777" w:rsidR="007876EE" w:rsidRDefault="00000000">
      <w:r>
        <w:rPr>
          <w:color w:val="000000"/>
        </w:rPr>
        <w:t>-2024–25: 58</w:t>
      </w:r>
    </w:p>
    <w:p w14:paraId="3EE30FC7" w14:textId="77777777" w:rsidR="007876EE" w:rsidRDefault="007876EE"/>
    <w:p w14:paraId="27E11192" w14:textId="77777777" w:rsidR="007876EE" w:rsidRDefault="00000000">
      <w:r>
        <w:rPr>
          <w:color w:val="000000"/>
        </w:rPr>
        <w:t>Strategies include statewide SC team utilization and workload streamlining.</w:t>
      </w:r>
    </w:p>
    <w:p w14:paraId="006BE470" w14:textId="77777777" w:rsidR="007876EE" w:rsidRDefault="007876EE"/>
    <w:p w14:paraId="46273A5C" w14:textId="77777777" w:rsidR="007876EE" w:rsidRDefault="00000000">
      <w:r>
        <w:rPr>
          <w:color w:val="000000"/>
        </w:rPr>
        <w:t>Early Childhood Outcomes (ECO)</w:t>
      </w:r>
    </w:p>
    <w:p w14:paraId="69F6B290" w14:textId="77777777" w:rsidR="007876EE" w:rsidRDefault="00000000">
      <w:r>
        <w:rPr>
          <w:color w:val="000000"/>
        </w:rPr>
        <w:t>In 2024–25, data showed:</w:t>
      </w:r>
    </w:p>
    <w:p w14:paraId="382D2D22" w14:textId="77777777" w:rsidR="007876EE" w:rsidRDefault="00000000">
      <w:r>
        <w:rPr>
          <w:color w:val="000000"/>
        </w:rPr>
        <w:t xml:space="preserve">-Retention rate: 87.1% (children remaining in </w:t>
      </w:r>
      <w:proofErr w:type="gramStart"/>
      <w:r>
        <w:rPr>
          <w:color w:val="000000"/>
        </w:rPr>
        <w:t>services</w:t>
      </w:r>
      <w:proofErr w:type="gramEnd"/>
      <w:r>
        <w:rPr>
          <w:color w:val="000000"/>
        </w:rPr>
        <w:t xml:space="preserve"> for a minimum of 6 months after initial IFSP)</w:t>
      </w:r>
    </w:p>
    <w:p w14:paraId="38293DA1" w14:textId="77777777" w:rsidR="007876EE" w:rsidRDefault="00000000">
      <w:r>
        <w:rPr>
          <w:color w:val="000000"/>
        </w:rPr>
        <w:lastRenderedPageBreak/>
        <w:t>-IFSP goals showing progress: 83.4% (up from 82%)</w:t>
      </w:r>
    </w:p>
    <w:p w14:paraId="212E1FE2" w14:textId="77777777" w:rsidR="007876EE" w:rsidRDefault="007876EE"/>
    <w:p w14:paraId="0189E524" w14:textId="77777777" w:rsidR="007876EE" w:rsidRDefault="00000000">
      <w:r>
        <w:rPr>
          <w:color w:val="000000"/>
        </w:rPr>
        <w:t>Results Monitoring and POE feedback have contributed to improved retention and progress toward goals.</w:t>
      </w:r>
    </w:p>
    <w:p w14:paraId="222846DC" w14:textId="77777777" w:rsidR="0051509A" w:rsidRPr="00F008FE" w:rsidRDefault="0051509A" w:rsidP="00F008FE">
      <w:pPr>
        <w:rPr>
          <w:rFonts w:cs="Arial"/>
          <w:b/>
          <w:bCs/>
        </w:rPr>
      </w:pPr>
    </w:p>
    <w:p w14:paraId="7E3322E9" w14:textId="77777777" w:rsidR="00F255D2" w:rsidRPr="006A6410" w:rsidRDefault="006A6410" w:rsidP="00F255D2">
      <w:pPr>
        <w:rPr>
          <w:rFonts w:cs="Arial"/>
          <w:b/>
          <w:bCs/>
        </w:rPr>
      </w:pPr>
      <w:bookmarkStart w:id="81" w:name="_Hlk109647068"/>
      <w:r w:rsidRPr="00E30972">
        <w:rPr>
          <w:rFonts w:cs="Arial"/>
          <w:b/>
          <w:bCs/>
        </w:rPr>
        <w:t xml:space="preserve">Describe any additional data (e.g., progress monitoring) that was collected that supports the decision to continue the ongoing use of each evidence-based practice. </w:t>
      </w:r>
    </w:p>
    <w:bookmarkEnd w:id="81"/>
    <w:p w14:paraId="0ACF4ACF" w14:textId="77777777" w:rsidR="00107600" w:rsidRPr="005137B6" w:rsidRDefault="00107600" w:rsidP="00107600">
      <w:pPr>
        <w:rPr>
          <w:b/>
          <w:bCs/>
        </w:rPr>
      </w:pPr>
      <w:r w:rsidRPr="00ED172B">
        <w:rPr>
          <w:color w:val="000000" w:themeColor="text1"/>
        </w:rPr>
        <w:t>The data collected around each evidence-based practice is described in the box above "Describe the data collected to monitor fidelity of implementation and assess practice change". The evidence to support discontinuation of the strategy in reducing requested reviews is also described.</w:t>
      </w:r>
    </w:p>
    <w:p w14:paraId="4D759056" w14:textId="77777777" w:rsidR="00107600" w:rsidRDefault="00107600" w:rsidP="00F255D2">
      <w:pPr>
        <w:rPr>
          <w:rFonts w:cs="Arial"/>
          <w:b/>
          <w:bCs/>
        </w:rPr>
      </w:pPr>
    </w:p>
    <w:p w14:paraId="322F025E" w14:textId="77777777" w:rsidR="006A6410" w:rsidRDefault="006A6410" w:rsidP="00064BA4">
      <w:pPr>
        <w:rPr>
          <w:rFonts w:cs="Arial"/>
          <w:b/>
          <w:bCs/>
        </w:rPr>
      </w:pPr>
      <w:bookmarkStart w:id="82" w:name="_Hlk109647074"/>
      <w:r w:rsidRPr="006A6410">
        <w:rPr>
          <w:rFonts w:cs="Arial"/>
          <w:b/>
          <w:bCs/>
        </w:rPr>
        <w:t xml:space="preserve">Provide a summary of the next steps for each evidence-based practice and the anticipated outcomes to be attained during the next reporting period. </w:t>
      </w:r>
    </w:p>
    <w:bookmarkEnd w:id="82"/>
    <w:p w14:paraId="507AA2CB" w14:textId="77777777" w:rsidR="00026ADD" w:rsidRPr="005137B6" w:rsidRDefault="00026ADD" w:rsidP="00026ADD">
      <w:pPr>
        <w:rPr>
          <w:b/>
          <w:bCs/>
        </w:rPr>
      </w:pPr>
      <w:r w:rsidRPr="00ED172B">
        <w:rPr>
          <w:color w:val="000000" w:themeColor="text1"/>
        </w:rPr>
        <w:t xml:space="preserve">IFSP Teaming </w:t>
      </w:r>
    </w:p>
    <w:p w14:paraId="0BC42D00" w14:textId="77777777" w:rsidR="007876EE" w:rsidRDefault="00000000">
      <w:r>
        <w:rPr>
          <w:color w:val="000000"/>
        </w:rPr>
        <w:t>In 2023-24, TEIS established new baselines for IFSP team member participation in annual IFSP meetings and in the Time for Teaming events. Time for Teaming will continue as an annual event with participation from the Early Intervention network in Tennessee. TEIS will also continue with a focus on the goal of enhancing IFSP team communication and efforts to streamline Service Coordinator workload.</w:t>
      </w:r>
    </w:p>
    <w:p w14:paraId="7FFF1803" w14:textId="77777777" w:rsidR="007876EE" w:rsidRDefault="00000000">
      <w:r>
        <w:rPr>
          <w:color w:val="000000"/>
        </w:rPr>
        <w:t xml:space="preserve"> </w:t>
      </w:r>
    </w:p>
    <w:p w14:paraId="78492213" w14:textId="77777777" w:rsidR="007876EE" w:rsidRDefault="00000000">
      <w:r>
        <w:rPr>
          <w:color w:val="000000"/>
        </w:rPr>
        <w:t xml:space="preserve">Family Centered Service </w:t>
      </w:r>
    </w:p>
    <w:p w14:paraId="28AD1DD4" w14:textId="77777777" w:rsidR="007876EE" w:rsidRDefault="00000000">
      <w:r>
        <w:rPr>
          <w:color w:val="000000"/>
        </w:rPr>
        <w:t xml:space="preserve">In 2025-26, TEIS will continue to provide a comprehensive approach to staff and provider support, training, and technical assistance. A new solicitation for eligibility evaluation agencies will be posted early 2026. TEIS will continue </w:t>
      </w:r>
      <w:proofErr w:type="gramStart"/>
      <w:r>
        <w:rPr>
          <w:color w:val="000000"/>
        </w:rPr>
        <w:t>support</w:t>
      </w:r>
      <w:proofErr w:type="gramEnd"/>
      <w:r>
        <w:rPr>
          <w:color w:val="000000"/>
        </w:rPr>
        <w:t xml:space="preserve"> EI agencies in accessing and utilizing data to drive decisions about their programs. The Staff and Provider Engagement team will continue to implement a comprehensive Professional Development and Technical Assistance plan that is responsive to the needs of the early intervention community in Tennessee. </w:t>
      </w:r>
    </w:p>
    <w:p w14:paraId="145E0949" w14:textId="77777777" w:rsidR="007876EE" w:rsidRDefault="007876EE"/>
    <w:p w14:paraId="769702FE" w14:textId="77777777" w:rsidR="007876EE" w:rsidRDefault="00000000">
      <w:r>
        <w:rPr>
          <w:color w:val="000000"/>
        </w:rPr>
        <w:t xml:space="preserve">ECO Data </w:t>
      </w:r>
    </w:p>
    <w:p w14:paraId="1A5AC36F" w14:textId="77777777" w:rsidR="007876EE" w:rsidRDefault="00000000">
      <w:r>
        <w:rPr>
          <w:color w:val="000000"/>
        </w:rPr>
        <w:t xml:space="preserve">In 2025-26, TEIS will continue to implement Developmental Check-Ins at annual IFSP meetings and support the ongoing evaluation of the process for collecting and communicating outcomes data, </w:t>
      </w:r>
      <w:proofErr w:type="gramStart"/>
      <w:r>
        <w:rPr>
          <w:color w:val="000000"/>
        </w:rPr>
        <w:t>making adjustments</w:t>
      </w:r>
      <w:proofErr w:type="gramEnd"/>
      <w:r>
        <w:rPr>
          <w:color w:val="000000"/>
        </w:rPr>
        <w:t xml:space="preserve"> as needed.</w:t>
      </w:r>
    </w:p>
    <w:p w14:paraId="2708483A" w14:textId="77777777" w:rsidR="00026ADD" w:rsidRDefault="00026ADD" w:rsidP="00064BA4">
      <w:pPr>
        <w:rPr>
          <w:rFonts w:cs="Arial"/>
          <w:b/>
          <w:bCs/>
        </w:rPr>
      </w:pPr>
      <w:bookmarkStart w:id="83" w:name="_Hlk109647080"/>
    </w:p>
    <w:bookmarkEnd w:id="83"/>
    <w:p w14:paraId="03C796D1" w14:textId="77777777" w:rsidR="00253D4F" w:rsidRPr="006A3544" w:rsidRDefault="00253D4F" w:rsidP="00253D4F">
      <w:pPr>
        <w:rPr>
          <w:b/>
          <w:bCs/>
          <w:szCs w:val="16"/>
        </w:rPr>
      </w:pPr>
      <w:r w:rsidRPr="006A3544">
        <w:rPr>
          <w:b/>
          <w:bCs/>
          <w:szCs w:val="16"/>
        </w:rPr>
        <w:t xml:space="preserve">Does the State intend to continue implementing </w:t>
      </w:r>
      <w:proofErr w:type="gramStart"/>
      <w:r w:rsidRPr="006A3544">
        <w:rPr>
          <w:b/>
          <w:bCs/>
          <w:szCs w:val="16"/>
        </w:rPr>
        <w:t>the SSIP</w:t>
      </w:r>
      <w:proofErr w:type="gramEnd"/>
      <w:r w:rsidRPr="006A3544">
        <w:rPr>
          <w:b/>
          <w:bCs/>
          <w:szCs w:val="16"/>
        </w:rPr>
        <w:t xml:space="preserve"> without modifications? </w:t>
      </w:r>
      <w:r w:rsidRPr="006A3544">
        <w:rPr>
          <w:rFonts w:cs="Arial"/>
          <w:b/>
          <w:bCs/>
        </w:rPr>
        <w:t>(yes/no)</w:t>
      </w:r>
    </w:p>
    <w:p w14:paraId="1AF176D1" w14:textId="77777777" w:rsidR="00540BB9" w:rsidRDefault="00540BB9" w:rsidP="00253D4F">
      <w:r w:rsidRPr="00781112">
        <w:t>NO</w:t>
      </w:r>
    </w:p>
    <w:p w14:paraId="3C67EDD1" w14:textId="77777777" w:rsidR="00253D4F" w:rsidRPr="006A3544" w:rsidRDefault="00253D4F" w:rsidP="00253D4F">
      <w:pPr>
        <w:rPr>
          <w:b/>
          <w:bCs/>
          <w:szCs w:val="16"/>
        </w:rPr>
      </w:pPr>
      <w:r w:rsidRPr="006A3544">
        <w:rPr>
          <w:b/>
          <w:bCs/>
          <w:szCs w:val="16"/>
        </w:rPr>
        <w:t xml:space="preserve">If </w:t>
      </w:r>
      <w:proofErr w:type="gramStart"/>
      <w:r w:rsidRPr="006A3544">
        <w:rPr>
          <w:b/>
          <w:bCs/>
          <w:szCs w:val="16"/>
        </w:rPr>
        <w:t>no</w:t>
      </w:r>
      <w:proofErr w:type="gramEnd"/>
      <w:r w:rsidRPr="006A3544">
        <w:rPr>
          <w:b/>
          <w:bCs/>
          <w:szCs w:val="16"/>
        </w:rPr>
        <w:t xml:space="preserve">, describe any changes to the activities, strategies or timelines described in the previous submission and include a rationale or justification for the changes. </w:t>
      </w:r>
    </w:p>
    <w:p w14:paraId="7A1B461C" w14:textId="77777777" w:rsidR="00540BB9" w:rsidRDefault="00540BB9" w:rsidP="00540BB9">
      <w:r w:rsidRPr="00781112">
        <w:t xml:space="preserve">In 2024–25, TEIS continued implementing the improvement activities and measurable results outlined in the 2022–25 Implementation and Evaluation Plan. Beginning in 2025–26, TEIS plans to utilize feedback gathered from families as described below and in Indicator 4 to update this SSIP to place a stronger emphasis on Family Outcomes. With over 90% of families participating in the annual family survey and the helpful comments received from families, TEIS </w:t>
      </w:r>
      <w:proofErr w:type="gramStart"/>
      <w:r w:rsidRPr="00781112">
        <w:t>is able to</w:t>
      </w:r>
      <w:proofErr w:type="gramEnd"/>
      <w:r w:rsidRPr="00781112">
        <w:t xml:space="preserve"> utilize the information to support programmatic improvement efforts. </w:t>
      </w:r>
    </w:p>
    <w:p w14:paraId="035DA28D" w14:textId="77777777" w:rsidR="00436802" w:rsidRDefault="00436802" w:rsidP="00F255D2">
      <w:pPr>
        <w:rPr>
          <w:color w:val="000000" w:themeColor="text1"/>
        </w:rPr>
      </w:pPr>
    </w:p>
    <w:p w14:paraId="3A31B0CC" w14:textId="77777777" w:rsidR="00436802" w:rsidRPr="00B50A83" w:rsidRDefault="00436802" w:rsidP="00F255D2">
      <w:pPr>
        <w:rPr>
          <w:b/>
          <w:bCs/>
        </w:rPr>
      </w:pPr>
    </w:p>
    <w:p w14:paraId="1F585715" w14:textId="77777777" w:rsidR="00436802" w:rsidRDefault="000F3CCC" w:rsidP="000F3CCC">
      <w:pPr>
        <w:rPr>
          <w:rFonts w:cs="Arial"/>
          <w:b/>
          <w:bCs/>
        </w:rPr>
      </w:pPr>
      <w:r w:rsidRPr="000F3CCC">
        <w:rPr>
          <w:rFonts w:cs="Arial"/>
          <w:b/>
          <w:bCs/>
        </w:rPr>
        <w:t>Section C: Stakeholder Engagement</w:t>
      </w:r>
    </w:p>
    <w:p w14:paraId="1B11735C" w14:textId="77777777" w:rsidR="00436802" w:rsidRDefault="00436802" w:rsidP="00436802">
      <w:pPr>
        <w:pStyle w:val="Bold"/>
        <w:rPr>
          <w:color w:val="000000" w:themeColor="text1"/>
        </w:rPr>
      </w:pPr>
      <w:r w:rsidRPr="00A10714">
        <w:rPr>
          <w:color w:val="000000" w:themeColor="text1"/>
        </w:rPr>
        <w:t>Description of Stakeholder Input</w:t>
      </w:r>
    </w:p>
    <w:p w14:paraId="078342C7" w14:textId="77777777" w:rsidR="00436802" w:rsidRDefault="00436802" w:rsidP="00436802">
      <w:pPr>
        <w:rPr>
          <w:color w:val="000000" w:themeColor="text1"/>
        </w:rPr>
      </w:pPr>
      <w:r w:rsidRPr="00ED172B">
        <w:rPr>
          <w:color w:val="000000" w:themeColor="text1"/>
        </w:rPr>
        <w:t>TEIS incorporates broad stakeholder input when addressing areas of need within the system through multiple channels, including:</w:t>
      </w:r>
    </w:p>
    <w:p w14:paraId="51A5822A" w14:textId="77777777" w:rsidR="007876EE" w:rsidRDefault="007876EE"/>
    <w:p w14:paraId="557F7619" w14:textId="77777777" w:rsidR="007876EE" w:rsidRDefault="00000000">
      <w:r>
        <w:rPr>
          <w:color w:val="000000"/>
        </w:rPr>
        <w:t>-State Interagency Coordinating Council (SICC) membership and attending visitors.</w:t>
      </w:r>
    </w:p>
    <w:p w14:paraId="15E28C0E" w14:textId="77777777" w:rsidR="007876EE" w:rsidRDefault="00000000">
      <w:r>
        <w:rPr>
          <w:color w:val="000000"/>
        </w:rPr>
        <w:t>-TEIS, EIRA, and Vendor Advisory Councils.</w:t>
      </w:r>
    </w:p>
    <w:p w14:paraId="2F23A8F0" w14:textId="77777777" w:rsidR="007876EE" w:rsidRDefault="00000000">
      <w:r>
        <w:rPr>
          <w:color w:val="000000"/>
        </w:rPr>
        <w:t>-Office Hours sessions.</w:t>
      </w:r>
    </w:p>
    <w:p w14:paraId="0614CD57" w14:textId="77777777" w:rsidR="007876EE" w:rsidRDefault="00000000">
      <w:r>
        <w:rPr>
          <w:color w:val="000000"/>
        </w:rPr>
        <w:t>-Feedback from family surveys, advocacy groups, and local engagement efforts.</w:t>
      </w:r>
    </w:p>
    <w:p w14:paraId="67164763" w14:textId="77777777" w:rsidR="007876EE" w:rsidRDefault="007876EE"/>
    <w:p w14:paraId="5CBD976D" w14:textId="77777777" w:rsidR="007876EE" w:rsidRDefault="00000000">
      <w:r>
        <w:rPr>
          <w:color w:val="000000"/>
        </w:rPr>
        <w:t>The TEIS website and department newsletter provide stakeholders with consistent updates on program activities and service delivery.</w:t>
      </w:r>
    </w:p>
    <w:p w14:paraId="7067111A" w14:textId="77777777" w:rsidR="007876EE" w:rsidRDefault="007876EE"/>
    <w:p w14:paraId="3D0810DA" w14:textId="77777777" w:rsidR="007876EE" w:rsidRDefault="00000000">
      <w:r>
        <w:rPr>
          <w:color w:val="000000"/>
        </w:rPr>
        <w:t>State Interagency Coordinating Council (SICC)</w:t>
      </w:r>
    </w:p>
    <w:p w14:paraId="797B3F27" w14:textId="77777777" w:rsidR="007876EE" w:rsidRDefault="00000000">
      <w:r>
        <w:rPr>
          <w:color w:val="000000"/>
        </w:rPr>
        <w:t xml:space="preserve">The SICC </w:t>
      </w:r>
      <w:proofErr w:type="gramStart"/>
      <w:r>
        <w:rPr>
          <w:color w:val="000000"/>
        </w:rPr>
        <w:t>met</w:t>
      </w:r>
      <w:proofErr w:type="gramEnd"/>
      <w:r>
        <w:rPr>
          <w:color w:val="000000"/>
        </w:rPr>
        <w:t xml:space="preserve"> quarterly in January, April, July, and October. Members, appointed by the Governor, represent diverse stakeholders in early intervention, including service providers, parents, state agencies, referral sources, and higher education.</w:t>
      </w:r>
    </w:p>
    <w:p w14:paraId="0832B1B5" w14:textId="77777777" w:rsidR="007876EE" w:rsidRDefault="007876EE"/>
    <w:p w14:paraId="1BD82E05" w14:textId="77777777" w:rsidR="007876EE" w:rsidRDefault="00000000">
      <w:r>
        <w:rPr>
          <w:color w:val="000000"/>
        </w:rPr>
        <w:t>Meetings are open to the public, and agenda topics can be submitted via the TEIS website. Topics addressed in 2024-25 included:</w:t>
      </w:r>
    </w:p>
    <w:p w14:paraId="4F6A314F" w14:textId="77777777" w:rsidR="007876EE" w:rsidRDefault="00000000">
      <w:r>
        <w:rPr>
          <w:color w:val="000000"/>
        </w:rPr>
        <w:t>-HOPE Family Survey results and feedback.</w:t>
      </w:r>
    </w:p>
    <w:p w14:paraId="37F28615" w14:textId="77777777" w:rsidR="007876EE" w:rsidRDefault="00000000">
      <w:r>
        <w:rPr>
          <w:color w:val="000000"/>
        </w:rPr>
        <w:t>-Results Monitoring.</w:t>
      </w:r>
    </w:p>
    <w:p w14:paraId="6E0E9A0F" w14:textId="77777777" w:rsidR="007876EE" w:rsidRDefault="00000000">
      <w:r>
        <w:rPr>
          <w:color w:val="000000"/>
        </w:rPr>
        <w:t>-TEIS Central Office team functions.</w:t>
      </w:r>
    </w:p>
    <w:p w14:paraId="413927C3" w14:textId="77777777" w:rsidR="007876EE" w:rsidRDefault="00000000">
      <w:r>
        <w:rPr>
          <w:color w:val="000000"/>
        </w:rPr>
        <w:t>-POE initiatives and regional goals.</w:t>
      </w:r>
    </w:p>
    <w:p w14:paraId="48B7367C" w14:textId="77777777" w:rsidR="007876EE" w:rsidRDefault="00000000">
      <w:r>
        <w:rPr>
          <w:color w:val="000000"/>
        </w:rPr>
        <w:t>-Other program updates.</w:t>
      </w:r>
    </w:p>
    <w:p w14:paraId="37B21A4D" w14:textId="77777777" w:rsidR="007876EE" w:rsidRDefault="007876EE"/>
    <w:p w14:paraId="46A7BAFD" w14:textId="77777777" w:rsidR="007876EE" w:rsidRDefault="00000000">
      <w:r>
        <w:rPr>
          <w:color w:val="000000"/>
        </w:rPr>
        <w:t>Additionally, SICC provided direct feedback to OSEP during Tennessee’s DMS 2.0 audit.</w:t>
      </w:r>
    </w:p>
    <w:p w14:paraId="2BBD4C89" w14:textId="77777777" w:rsidR="007876EE" w:rsidRDefault="007876EE"/>
    <w:p w14:paraId="182DE855" w14:textId="77777777" w:rsidR="007876EE" w:rsidRDefault="00000000">
      <w:r>
        <w:rPr>
          <w:color w:val="000000"/>
        </w:rPr>
        <w:t>Advisory Councils</w:t>
      </w:r>
    </w:p>
    <w:p w14:paraId="3436C013" w14:textId="77777777" w:rsidR="007876EE" w:rsidRDefault="00000000">
      <w:r>
        <w:rPr>
          <w:color w:val="000000"/>
        </w:rPr>
        <w:t>Two advisory councils serve as key feedback channels:</w:t>
      </w:r>
    </w:p>
    <w:p w14:paraId="33735F69" w14:textId="77777777" w:rsidR="007876EE" w:rsidRDefault="00000000">
      <w:r>
        <w:rPr>
          <w:color w:val="000000"/>
        </w:rPr>
        <w:lastRenderedPageBreak/>
        <w:t>-Early Intervention Resource Agency (EIRA) Advisory Council – Agencies providing developmental therapy.</w:t>
      </w:r>
    </w:p>
    <w:p w14:paraId="6C20160F" w14:textId="77777777" w:rsidR="007876EE" w:rsidRDefault="00000000">
      <w:r>
        <w:rPr>
          <w:color w:val="000000"/>
        </w:rPr>
        <w:t>-Vendor Advisory Council – Agencies providing therapy services (speech, physical, occupational).</w:t>
      </w:r>
    </w:p>
    <w:p w14:paraId="25FB3244" w14:textId="77777777" w:rsidR="007876EE" w:rsidRDefault="007876EE"/>
    <w:p w14:paraId="30C41513" w14:textId="77777777" w:rsidR="007876EE" w:rsidRDefault="00000000">
      <w:r>
        <w:rPr>
          <w:color w:val="000000"/>
        </w:rPr>
        <w:t>Updates from both councils are shared at quarterly SICC meetings. Membership includes contracted EIS provider agencies.</w:t>
      </w:r>
    </w:p>
    <w:p w14:paraId="6D69407B" w14:textId="77777777" w:rsidR="007876EE" w:rsidRDefault="007876EE"/>
    <w:p w14:paraId="79DBB2EE" w14:textId="77777777" w:rsidR="007876EE" w:rsidRDefault="00000000">
      <w:r>
        <w:rPr>
          <w:color w:val="000000"/>
        </w:rPr>
        <w:t>EIRA Advisory Council focuses on:</w:t>
      </w:r>
    </w:p>
    <w:p w14:paraId="7C6C453A" w14:textId="77777777" w:rsidR="007876EE" w:rsidRDefault="00000000">
      <w:r>
        <w:rPr>
          <w:color w:val="000000"/>
        </w:rPr>
        <w:t>-Improving services for children and families.</w:t>
      </w:r>
    </w:p>
    <w:p w14:paraId="60A8AA25" w14:textId="77777777" w:rsidR="007876EE" w:rsidRDefault="00000000">
      <w:r>
        <w:rPr>
          <w:color w:val="000000"/>
        </w:rPr>
        <w:t>-Increasing access to services statewide.</w:t>
      </w:r>
    </w:p>
    <w:p w14:paraId="419432D2" w14:textId="77777777" w:rsidR="007876EE" w:rsidRDefault="00000000">
      <w:r>
        <w:rPr>
          <w:color w:val="000000"/>
        </w:rPr>
        <w:t>-Enhancing communication between TEIS and EIRAs.</w:t>
      </w:r>
    </w:p>
    <w:p w14:paraId="6D6E72E9" w14:textId="77777777" w:rsidR="007876EE" w:rsidRDefault="007876EE"/>
    <w:p w14:paraId="413B3F91" w14:textId="77777777" w:rsidR="007876EE" w:rsidRDefault="00000000">
      <w:r>
        <w:rPr>
          <w:color w:val="000000"/>
        </w:rPr>
        <w:t>This year, the council emphasized IFSP teaming, analyzed survey feedback, and developed action plans to address concerns among Service Coordinators, leadership, families, and therapy vendors.</w:t>
      </w:r>
    </w:p>
    <w:p w14:paraId="19027F4F" w14:textId="77777777" w:rsidR="007876EE" w:rsidRDefault="007876EE"/>
    <w:p w14:paraId="0FDAC72E" w14:textId="77777777" w:rsidR="007876EE" w:rsidRDefault="00000000">
      <w:r>
        <w:rPr>
          <w:color w:val="000000"/>
        </w:rPr>
        <w:t>Vendor Advisory Council collaborates on:</w:t>
      </w:r>
    </w:p>
    <w:p w14:paraId="5717DC24" w14:textId="77777777" w:rsidR="007876EE" w:rsidRDefault="00000000">
      <w:r>
        <w:rPr>
          <w:color w:val="000000"/>
        </w:rPr>
        <w:t>-Issues impacting therapy vendors.</w:t>
      </w:r>
    </w:p>
    <w:p w14:paraId="49654644" w14:textId="77777777" w:rsidR="007876EE" w:rsidRDefault="00000000">
      <w:r>
        <w:rPr>
          <w:color w:val="000000"/>
        </w:rPr>
        <w:t>-Streamlining billing and business processes.</w:t>
      </w:r>
    </w:p>
    <w:p w14:paraId="4D457BD7" w14:textId="77777777" w:rsidR="007876EE" w:rsidRDefault="00000000">
      <w:r>
        <w:rPr>
          <w:color w:val="000000"/>
        </w:rPr>
        <w:t>-Improving IFSP teaming in partnership with the EIRA Advisory Council.</w:t>
      </w:r>
    </w:p>
    <w:p w14:paraId="7DACB879" w14:textId="77777777" w:rsidR="007876EE" w:rsidRDefault="007876EE"/>
    <w:p w14:paraId="662E0433" w14:textId="77777777" w:rsidR="007876EE" w:rsidRDefault="00000000">
      <w:r>
        <w:rPr>
          <w:color w:val="000000"/>
        </w:rPr>
        <w:t>Council Structure</w:t>
      </w:r>
    </w:p>
    <w:p w14:paraId="0E63F751" w14:textId="77777777" w:rsidR="007876EE" w:rsidRDefault="00000000">
      <w:r>
        <w:rPr>
          <w:color w:val="000000"/>
        </w:rPr>
        <w:t>Membership is voluntary and includes agency administrators and direct service providers from Tennessee’s three grand regions (East, Middle, West). Councils operate autonomously under a chairperson recommended by members and appointed by the Assistant Commissioner of TEIS. The Program Director of TEIS Initiatives serves as liaison and provides departmental support for quarterly meetings.</w:t>
      </w:r>
    </w:p>
    <w:p w14:paraId="2C138949" w14:textId="77777777" w:rsidR="007876EE" w:rsidRDefault="007876EE"/>
    <w:p w14:paraId="04868B77" w14:textId="77777777" w:rsidR="007876EE" w:rsidRDefault="00000000">
      <w:r>
        <w:rPr>
          <w:color w:val="000000"/>
        </w:rPr>
        <w:t>Office Hours</w:t>
      </w:r>
    </w:p>
    <w:p w14:paraId="38A114D2" w14:textId="77777777" w:rsidR="007876EE" w:rsidRDefault="00000000">
      <w:r>
        <w:rPr>
          <w:color w:val="000000"/>
        </w:rPr>
        <w:t>TEIS leadership hosts regular virtual meetings for early intervention providers (EIRAs and vendors) and staff. These sessions promote dialogue, share updates, and gather stakeholder input.</w:t>
      </w:r>
    </w:p>
    <w:p w14:paraId="16A885CC" w14:textId="77777777" w:rsidR="007876EE" w:rsidRDefault="007876EE"/>
    <w:p w14:paraId="5A219DDA" w14:textId="77777777" w:rsidR="007876EE" w:rsidRDefault="00000000">
      <w:r>
        <w:rPr>
          <w:color w:val="000000"/>
        </w:rPr>
        <w:t>Parent Engagement</w:t>
      </w:r>
    </w:p>
    <w:p w14:paraId="56B19D9E" w14:textId="77777777" w:rsidR="007876EE" w:rsidRDefault="00000000">
      <w:r>
        <w:rPr>
          <w:color w:val="000000"/>
        </w:rPr>
        <w:t>Stakeholder engagement activities—along with professional development and technical assistance—help build the capacity of parents through:</w:t>
      </w:r>
    </w:p>
    <w:p w14:paraId="76F8A60A" w14:textId="77777777" w:rsidR="007876EE" w:rsidRDefault="00000000">
      <w:r>
        <w:rPr>
          <w:color w:val="000000"/>
        </w:rPr>
        <w:t>-Direct engagement: Participation in SICC or local councils, training sessions, surveys, and direct communication with TEIS leadership.</w:t>
      </w:r>
    </w:p>
    <w:p w14:paraId="3C06C033" w14:textId="77777777" w:rsidR="007876EE" w:rsidRDefault="00000000">
      <w:r>
        <w:rPr>
          <w:color w:val="000000"/>
        </w:rPr>
        <w:t>-Indirect engagement: Training and monitoring systems that strengthen IFSP team members’ knowledge and skills, benefiting children and families.</w:t>
      </w:r>
    </w:p>
    <w:p w14:paraId="6A083406" w14:textId="77777777" w:rsidR="00436802" w:rsidRPr="00ED172B" w:rsidRDefault="00436802" w:rsidP="00436802">
      <w:pPr>
        <w:pStyle w:val="Bold"/>
        <w:rPr>
          <w:b w:val="0"/>
          <w:color w:val="000000" w:themeColor="text1"/>
        </w:rPr>
      </w:pPr>
    </w:p>
    <w:p w14:paraId="57C0BFAB" w14:textId="77777777" w:rsidR="000F3CCC" w:rsidRPr="000F3CCC" w:rsidRDefault="000F3CCC" w:rsidP="000F3CCC">
      <w:pPr>
        <w:rPr>
          <w:rFonts w:cs="Arial"/>
          <w:b/>
          <w:bCs/>
        </w:rPr>
      </w:pPr>
      <w:r w:rsidRPr="000F3CCC">
        <w:rPr>
          <w:rFonts w:cs="Arial"/>
          <w:b/>
          <w:bCs/>
        </w:rPr>
        <w:t xml:space="preserve"> </w:t>
      </w:r>
    </w:p>
    <w:p w14:paraId="1885D5C5" w14:textId="77777777" w:rsidR="000F3CCC" w:rsidRPr="000F3CCC" w:rsidRDefault="000F3CCC" w:rsidP="000F3CCC">
      <w:pPr>
        <w:rPr>
          <w:rFonts w:cs="Arial"/>
          <w:b/>
          <w:bCs/>
        </w:rPr>
      </w:pPr>
      <w:bookmarkStart w:id="84" w:name="_Hlk109647088"/>
      <w:r w:rsidRPr="000F3CCC">
        <w:rPr>
          <w:rFonts w:cs="Arial"/>
          <w:b/>
          <w:bCs/>
        </w:rPr>
        <w:t xml:space="preserve">Describe the specific strategies implemented to engage stakeholders in key improvement efforts. </w:t>
      </w:r>
    </w:p>
    <w:bookmarkEnd w:id="84"/>
    <w:p w14:paraId="6166A774" w14:textId="77777777" w:rsidR="00D96943" w:rsidRPr="00B50A83" w:rsidRDefault="00D96943" w:rsidP="00D96943">
      <w:pPr>
        <w:rPr>
          <w:b/>
          <w:bCs/>
        </w:rPr>
      </w:pPr>
      <w:r w:rsidRPr="00ED172B">
        <w:rPr>
          <w:color w:val="000000" w:themeColor="text1"/>
        </w:rPr>
        <w:t xml:space="preserve">TEIS actively engages stakeholders through multiple channels to support SSIP activities. In addition to engagement through the State Interagency Coordinating Council (SICC), TEIS hosts regular office hours and quarterly in-person meetings with early intervention service providers. The Staff and Provider Engagement Team </w:t>
      </w:r>
      <w:proofErr w:type="gramStart"/>
      <w:r w:rsidRPr="00ED172B">
        <w:rPr>
          <w:color w:val="000000" w:themeColor="text1"/>
        </w:rPr>
        <w:t>meets</w:t>
      </w:r>
      <w:proofErr w:type="gramEnd"/>
      <w:r w:rsidRPr="00ED172B">
        <w:rPr>
          <w:color w:val="000000" w:themeColor="text1"/>
        </w:rPr>
        <w:t xml:space="preserve"> regularly with EIRA staff and local POE leadership for planning and problem-solving, while TEIS’s Assistant Commissioner and Deputy Director hold annual meetings with EIRA leadership.</w:t>
      </w:r>
    </w:p>
    <w:p w14:paraId="3A32F285" w14:textId="77777777" w:rsidR="007876EE" w:rsidRDefault="007876EE"/>
    <w:p w14:paraId="4F8EA8F0" w14:textId="77777777" w:rsidR="007876EE" w:rsidRDefault="00000000">
      <w:r>
        <w:rPr>
          <w:color w:val="000000"/>
        </w:rPr>
        <w:t>TEIS leadership also conducts on-site visits with POEs, vendors, and EIRAs to connect directly with staff. The EIRA Advisory Council, Vendor Advisory Council, and specialized sub-groups provide valuable insight and actionable plans to address critical issues such as provider recruitment and retention, as well as staff recruitment strategies.</w:t>
      </w:r>
    </w:p>
    <w:p w14:paraId="2EF3EA1D" w14:textId="77777777" w:rsidR="00476A20" w:rsidRDefault="00476A20" w:rsidP="00DA6A6C">
      <w:pPr>
        <w:rPr>
          <w:rFonts w:cs="Arial"/>
          <w:b/>
          <w:bCs/>
        </w:rPr>
      </w:pPr>
    </w:p>
    <w:p w14:paraId="5E6915BA" w14:textId="77777777" w:rsidR="00476A20" w:rsidRDefault="00DA6A6C" w:rsidP="00DA6A6C">
      <w:pPr>
        <w:rPr>
          <w:rFonts w:cs="Arial"/>
          <w:b/>
          <w:bCs/>
        </w:rPr>
      </w:pPr>
      <w:bookmarkStart w:id="85"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85"/>
    <w:p w14:paraId="00736D72" w14:textId="77777777" w:rsidR="00DA6A6C" w:rsidRPr="000420BE" w:rsidRDefault="000420BE" w:rsidP="00DA6A6C">
      <w:pPr>
        <w:rPr>
          <w:b/>
          <w:bCs/>
        </w:rPr>
      </w:pPr>
      <w:r w:rsidRPr="00ED172B">
        <w:rPr>
          <w:color w:val="000000" w:themeColor="text1"/>
        </w:rPr>
        <w:t>YES</w:t>
      </w:r>
    </w:p>
    <w:p w14:paraId="673A5EF7" w14:textId="77777777" w:rsidR="003D4AAD" w:rsidRPr="003D4AAD" w:rsidRDefault="00436802" w:rsidP="003D4AAD">
      <w:pPr>
        <w:rPr>
          <w:rFonts w:cs="Arial"/>
          <w:b/>
          <w:bCs/>
        </w:rPr>
      </w:pPr>
      <w:bookmarkStart w:id="86" w:name="_Hlk109647102"/>
      <w:r>
        <w:rPr>
          <w:rFonts w:cs="Arial"/>
          <w:b/>
          <w:bCs/>
        </w:rPr>
        <w:t xml:space="preserve">Describe how the State addressed the concerns expressed by stakeholders. </w:t>
      </w:r>
    </w:p>
    <w:bookmarkEnd w:id="86"/>
    <w:p w14:paraId="455A1E8B" w14:textId="77777777" w:rsidR="0072398B" w:rsidRDefault="004A571B" w:rsidP="006237B0">
      <w:pPr>
        <w:rPr>
          <w:color w:val="000000" w:themeColor="text1"/>
        </w:rPr>
      </w:pPr>
      <w:r w:rsidRPr="00ED172B">
        <w:rPr>
          <w:color w:val="000000" w:themeColor="text1"/>
        </w:rPr>
        <w:t>TEIS leadership actively promotes open communication and provides multiple opportunities for stakeholders to ask questions and share concerns. A common issue raised by stakeholders involves provider availability and ensuring timely, accurate information during the competitive contract process. To address this, the TEIS Contracts Team has established a fair and consistent process for reviewing contract applications and sharing information with applicants.</w:t>
      </w:r>
    </w:p>
    <w:p w14:paraId="2D52A69E" w14:textId="77777777" w:rsidR="007876EE" w:rsidRDefault="007876EE"/>
    <w:p w14:paraId="56CED95C" w14:textId="77777777" w:rsidR="007876EE" w:rsidRDefault="00000000">
      <w:r>
        <w:rPr>
          <w:color w:val="000000"/>
        </w:rPr>
        <w:t>TEIS also continues to explore ways to address provider concerns about reimbursement rates. Providers frequently express concerns about coverage and reimbursement for public benefits and private insurance, particularly for services delivered in natural environments. The TEIS Vendor Advisory Council has collaborated with TEIS and Department leadership to address these issues. As part of these efforts, TEIS has been able to implement some adjustments, such as an increased mileage rate and an administrative fe</w:t>
      </w:r>
      <w:r>
        <w:rPr>
          <w:color w:val="000000"/>
        </w:rPr>
        <w:t xml:space="preserve">e incentive for timely data entry, while continuing to seek solutions to the larger issue. </w:t>
      </w:r>
    </w:p>
    <w:p w14:paraId="58756FB8" w14:textId="77777777" w:rsidR="004A571B" w:rsidRPr="006237B0" w:rsidRDefault="004A571B" w:rsidP="006237B0">
      <w:pPr>
        <w:rPr>
          <w:rFonts w:cs="Arial"/>
          <w:b/>
          <w:bCs/>
        </w:rPr>
      </w:pPr>
    </w:p>
    <w:p w14:paraId="2C4BC2C2" w14:textId="77777777" w:rsidR="004E393A" w:rsidRDefault="004E393A" w:rsidP="004E393A">
      <w:pPr>
        <w:rPr>
          <w:rFonts w:cstheme="minorHAnsi"/>
          <w:b/>
          <w:bCs/>
        </w:rPr>
      </w:pPr>
      <w:r w:rsidRPr="00DF62C9">
        <w:rPr>
          <w:rFonts w:cstheme="minorHAnsi"/>
          <w:b/>
          <w:bCs/>
        </w:rPr>
        <w:t>Additional Implementation Activities</w:t>
      </w:r>
    </w:p>
    <w:p w14:paraId="717B48F1" w14:textId="77777777" w:rsidR="004E393A" w:rsidRDefault="004E393A" w:rsidP="004E393A">
      <w:pPr>
        <w:rPr>
          <w:b/>
          <w:bCs/>
        </w:rPr>
      </w:pPr>
      <w:bookmarkStart w:id="87" w:name="_Hlk109647117"/>
      <w:r w:rsidRPr="00F85A5B">
        <w:rPr>
          <w:b/>
          <w:bCs/>
        </w:rPr>
        <w:t xml:space="preserve">List any activities not already described that the State intends to implement in the next fiscal year that are related to the </w:t>
      </w:r>
      <w:proofErr w:type="spellStart"/>
      <w:r w:rsidRPr="00F85A5B">
        <w:rPr>
          <w:b/>
          <w:bCs/>
        </w:rPr>
        <w:t>SiMR</w:t>
      </w:r>
      <w:proofErr w:type="spellEnd"/>
      <w:r w:rsidRPr="00F85A5B">
        <w:rPr>
          <w:b/>
          <w:bCs/>
        </w:rPr>
        <w:t>.</w:t>
      </w:r>
    </w:p>
    <w:bookmarkEnd w:id="87"/>
    <w:p w14:paraId="21AA35CC" w14:textId="77777777" w:rsidR="00917FC3" w:rsidRPr="00F85A5B" w:rsidRDefault="00917FC3" w:rsidP="004E393A">
      <w:pPr>
        <w:rPr>
          <w:color w:val="000000" w:themeColor="text1"/>
        </w:rPr>
      </w:pPr>
    </w:p>
    <w:p w14:paraId="19DE8A7C" w14:textId="77777777" w:rsidR="00297898" w:rsidRPr="00297898" w:rsidRDefault="00297898" w:rsidP="00297898">
      <w:pPr>
        <w:rPr>
          <w:rFonts w:cs="Arial"/>
          <w:b/>
          <w:bCs/>
        </w:rPr>
      </w:pPr>
      <w:bookmarkStart w:id="88" w:name="_Hlk109647119"/>
      <w:r w:rsidRPr="00297898">
        <w:rPr>
          <w:rFonts w:cs="Arial"/>
          <w:b/>
          <w:bCs/>
        </w:rPr>
        <w:t xml:space="preserve">Provide a timeline, anticipated data collection and measures, and expected outcomes for these activities that are related to the </w:t>
      </w:r>
      <w:proofErr w:type="spellStart"/>
      <w:r w:rsidRPr="00297898">
        <w:rPr>
          <w:rFonts w:cs="Arial"/>
          <w:b/>
          <w:bCs/>
        </w:rPr>
        <w:t>SiMR</w:t>
      </w:r>
      <w:proofErr w:type="spellEnd"/>
      <w:r w:rsidRPr="00297898">
        <w:rPr>
          <w:rFonts w:cs="Arial"/>
          <w:b/>
          <w:bCs/>
        </w:rPr>
        <w:t xml:space="preserve">. </w:t>
      </w:r>
    </w:p>
    <w:bookmarkEnd w:id="88"/>
    <w:p w14:paraId="09737371" w14:textId="77777777" w:rsidR="006237B0" w:rsidRDefault="006237B0" w:rsidP="00067F9F">
      <w:pPr>
        <w:spacing w:before="0" w:after="0"/>
        <w:rPr>
          <w:color w:val="000000" w:themeColor="text1"/>
        </w:rPr>
      </w:pPr>
    </w:p>
    <w:p w14:paraId="2D2078F7" w14:textId="77777777" w:rsidR="007B151D" w:rsidRPr="00F85A5B" w:rsidRDefault="007B151D" w:rsidP="003B71AB">
      <w:pPr>
        <w:rPr>
          <w:color w:val="000000" w:themeColor="text1"/>
        </w:rPr>
      </w:pPr>
    </w:p>
    <w:p w14:paraId="51CD5713" w14:textId="77777777" w:rsidR="009E0726" w:rsidRDefault="009E0726" w:rsidP="009E0726">
      <w:pPr>
        <w:rPr>
          <w:rFonts w:cs="Arial"/>
          <w:b/>
          <w:bCs/>
        </w:rPr>
      </w:pPr>
      <w:bookmarkStart w:id="89" w:name="_Hlk109647121"/>
      <w:r w:rsidRPr="009E0726">
        <w:rPr>
          <w:rFonts w:cs="Arial"/>
          <w:b/>
          <w:bCs/>
        </w:rPr>
        <w:lastRenderedPageBreak/>
        <w:t>Describe any newly identified barriers and include steps to address these barriers.</w:t>
      </w:r>
    </w:p>
    <w:bookmarkEnd w:id="89"/>
    <w:p w14:paraId="4D924859" w14:textId="77777777" w:rsidR="00F40121" w:rsidRDefault="00F40121" w:rsidP="00F40121">
      <w:pPr>
        <w:rPr>
          <w:color w:val="000000" w:themeColor="text1"/>
        </w:rPr>
      </w:pPr>
    </w:p>
    <w:p w14:paraId="7FEE4D01" w14:textId="77777777" w:rsidR="009B26D1" w:rsidRPr="009E0726" w:rsidRDefault="009B26D1" w:rsidP="009E0726">
      <w:pPr>
        <w:rPr>
          <w:rFonts w:cs="Arial"/>
          <w:b/>
          <w:bCs/>
        </w:rPr>
      </w:pPr>
    </w:p>
    <w:p w14:paraId="740D14EC" w14:textId="77777777" w:rsidR="00261010" w:rsidRPr="00261010" w:rsidRDefault="00261010" w:rsidP="00261010">
      <w:pPr>
        <w:rPr>
          <w:rFonts w:cs="Arial"/>
          <w:b/>
          <w:bCs/>
        </w:rPr>
      </w:pPr>
      <w:bookmarkStart w:id="90" w:name="_Hlk109647123"/>
      <w:r w:rsidRPr="00261010">
        <w:rPr>
          <w:rFonts w:cs="Arial"/>
          <w:b/>
          <w:bCs/>
        </w:rPr>
        <w:t>Provide additional information about this indicator (optional).</w:t>
      </w:r>
    </w:p>
    <w:bookmarkEnd w:id="90"/>
    <w:p w14:paraId="34E8A1CA" w14:textId="77777777" w:rsidR="00F40121" w:rsidRDefault="00F40121" w:rsidP="00F40121">
      <w:pPr>
        <w:rPr>
          <w:color w:val="000000" w:themeColor="text1"/>
        </w:rPr>
      </w:pPr>
    </w:p>
    <w:p w14:paraId="5B938631" w14:textId="77777777" w:rsidR="005838E8" w:rsidRDefault="005838E8" w:rsidP="00741E58">
      <w:pPr>
        <w:rPr>
          <w:b/>
          <w:bCs/>
        </w:rPr>
      </w:pPr>
    </w:p>
    <w:p w14:paraId="458FEE67" w14:textId="77777777" w:rsidR="005838E8" w:rsidRPr="00F85A5B" w:rsidRDefault="005838E8" w:rsidP="00F85A5B">
      <w:pPr>
        <w:rPr>
          <w:b/>
          <w:bCs/>
        </w:rPr>
      </w:pPr>
    </w:p>
    <w:p w14:paraId="3DB9AEC6" w14:textId="77777777" w:rsidR="00F5460E" w:rsidRPr="00A40EE1" w:rsidRDefault="00F5460E" w:rsidP="00F5460E">
      <w:pPr>
        <w:pStyle w:val="Heading2"/>
      </w:pPr>
      <w:r w:rsidRPr="00A40EE1">
        <w:t>1</w:t>
      </w:r>
      <w:r>
        <w:t>1</w:t>
      </w:r>
      <w:r w:rsidRPr="00A40EE1">
        <w:t xml:space="preserve"> - </w:t>
      </w:r>
      <w:r w:rsidRPr="00A10714">
        <w:t>Prior FFY Required Actions</w:t>
      </w:r>
    </w:p>
    <w:p w14:paraId="1772B51A" w14:textId="77777777" w:rsidR="00F5460E" w:rsidRPr="00ED172B" w:rsidRDefault="00F5460E" w:rsidP="00F5460E">
      <w:pPr>
        <w:rPr>
          <w:color w:val="000000" w:themeColor="text1"/>
        </w:rPr>
      </w:pPr>
      <w:r w:rsidRPr="00ED172B">
        <w:rPr>
          <w:color w:val="000000" w:themeColor="text1"/>
        </w:rPr>
        <w:t>None</w:t>
      </w:r>
    </w:p>
    <w:p w14:paraId="269A71C0" w14:textId="77777777" w:rsidR="00F5460E" w:rsidRPr="00A40EE1" w:rsidRDefault="00F5460E" w:rsidP="00F5460E">
      <w:pPr>
        <w:pStyle w:val="Heading2"/>
      </w:pPr>
      <w:r w:rsidRPr="00A40EE1">
        <w:t>1</w:t>
      </w:r>
      <w:r w:rsidR="001C46CD">
        <w:t>1</w:t>
      </w:r>
      <w:r w:rsidRPr="00A40EE1">
        <w:t xml:space="preserve"> - OSEP Response</w:t>
      </w:r>
    </w:p>
    <w:p w14:paraId="0E0A9B49" w14:textId="77777777" w:rsidR="00F5460E" w:rsidRPr="00ED172B" w:rsidRDefault="00F5460E" w:rsidP="00F5460E">
      <w:pPr>
        <w:rPr>
          <w:color w:val="000000" w:themeColor="text1"/>
        </w:rPr>
      </w:pPr>
    </w:p>
    <w:p w14:paraId="47F3EC67" w14:textId="77777777" w:rsidR="00F5460E" w:rsidRPr="00A40EE1" w:rsidRDefault="00F5460E" w:rsidP="00F5460E">
      <w:pPr>
        <w:pStyle w:val="Heading2"/>
      </w:pPr>
      <w:r w:rsidRPr="00A40EE1">
        <w:t>1</w:t>
      </w:r>
      <w:r w:rsidR="001C46CD">
        <w:t>1</w:t>
      </w:r>
      <w:r w:rsidRPr="00A40EE1">
        <w:t xml:space="preserve"> - Required Actions</w:t>
      </w:r>
    </w:p>
    <w:p w14:paraId="73C0FDB0" w14:textId="77777777" w:rsidR="00F5460E" w:rsidRPr="00ED172B" w:rsidRDefault="00F5460E" w:rsidP="00F5460E">
      <w:pPr>
        <w:rPr>
          <w:color w:val="000000" w:themeColor="text1"/>
        </w:rPr>
      </w:pPr>
    </w:p>
    <w:p w14:paraId="4DD133B6" w14:textId="77777777" w:rsidR="00530511" w:rsidRDefault="00621DEC" w:rsidP="00530511">
      <w:pPr>
        <w:pStyle w:val="Heading1"/>
      </w:pPr>
      <w:r>
        <w:rPr>
          <w:color w:val="000000" w:themeColor="text1"/>
        </w:rPr>
        <w:br w:type="page"/>
      </w:r>
      <w:r w:rsidR="00530511">
        <w:lastRenderedPageBreak/>
        <w:t>Indicator 12: General Supervision</w:t>
      </w:r>
    </w:p>
    <w:p w14:paraId="6DB9A0CF" w14:textId="77777777" w:rsidR="00DE79BF" w:rsidRPr="00727602" w:rsidRDefault="00DE79BF" w:rsidP="00727602">
      <w:pPr>
        <w:rPr>
          <w:b/>
          <w:color w:val="000000" w:themeColor="text1"/>
          <w:sz w:val="20"/>
          <w:szCs w:val="20"/>
        </w:rPr>
      </w:pPr>
      <w:r w:rsidRPr="00727602">
        <w:rPr>
          <w:b/>
          <w:color w:val="000000" w:themeColor="text1"/>
          <w:sz w:val="20"/>
          <w:szCs w:val="20"/>
        </w:rPr>
        <w:t>Instructions and Measurement</w:t>
      </w:r>
    </w:p>
    <w:p w14:paraId="055B2149" w14:textId="77777777" w:rsidR="00DE79BF" w:rsidRPr="007D0769" w:rsidRDefault="00DE79BF" w:rsidP="00DE79BF">
      <w:pPr>
        <w:keepNext/>
        <w:spacing w:after="0"/>
        <w:rPr>
          <w:rFonts w:eastAsia="Calibri" w:cs="Arial"/>
          <w:bCs/>
          <w:szCs w:val="16"/>
        </w:rPr>
      </w:pPr>
      <w:r w:rsidRPr="007D0769">
        <w:rPr>
          <w:rFonts w:eastAsia="Calibri" w:cs="Arial"/>
          <w:b/>
          <w:szCs w:val="16"/>
        </w:rPr>
        <w:t xml:space="preserve">Monitoring Priority: </w:t>
      </w:r>
      <w:r w:rsidRPr="007D0769">
        <w:rPr>
          <w:rFonts w:eastAsia="Calibri" w:cs="Arial"/>
          <w:bCs/>
          <w:szCs w:val="16"/>
        </w:rPr>
        <w:t>General Supervision</w:t>
      </w:r>
    </w:p>
    <w:p w14:paraId="14189935" w14:textId="77777777" w:rsidR="00DE79BF" w:rsidRPr="007D0769" w:rsidRDefault="00DE79BF" w:rsidP="00DE79BF">
      <w:pPr>
        <w:keepNext/>
        <w:spacing w:after="0"/>
        <w:rPr>
          <w:rFonts w:eastAsia="Calibri" w:cs="Arial"/>
          <w:szCs w:val="16"/>
        </w:rPr>
      </w:pPr>
      <w:r w:rsidRPr="007D0769">
        <w:rPr>
          <w:rFonts w:eastAsia="Calibri" w:cs="Arial"/>
          <w:b/>
          <w:szCs w:val="16"/>
        </w:rPr>
        <w:t xml:space="preserve">Compliance indicator: </w:t>
      </w:r>
      <w:r w:rsidRPr="007D0769">
        <w:rPr>
          <w:rFonts w:eastAsia="Calibri" w:cs="Arial"/>
          <w:szCs w:val="16"/>
        </w:rPr>
        <w:t>This SPP/APR indicator focuses on the State lead agency’s exercise of its general supervision responsibility to monitor its Early Intervention Service (EIS) Providers and EIS Programs for requirements under Part C of the Individuals with Disabilities Act (IDEA) through the State’s reporting on timely correction of noncompliance (20 U.S.C. 1416(a) and 1435(a)(10); 34 C.F.R. §§ 303.120 and 303.700).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0EBA35C3" w14:textId="77777777" w:rsidR="00DE79BF" w:rsidRPr="007D0769" w:rsidRDefault="00DE79BF" w:rsidP="00DE79BF">
      <w:pPr>
        <w:keepNext/>
        <w:spacing w:after="0"/>
        <w:rPr>
          <w:rFonts w:eastAsia="Calibri" w:cs="Arial"/>
          <w:b/>
          <w:szCs w:val="16"/>
        </w:rPr>
      </w:pPr>
      <w:r w:rsidRPr="007D0769">
        <w:rPr>
          <w:rFonts w:eastAsia="Calibri" w:cs="Arial"/>
          <w:b/>
          <w:szCs w:val="16"/>
        </w:rPr>
        <w:t>Data Source</w:t>
      </w:r>
    </w:p>
    <w:p w14:paraId="18AD3376" w14:textId="77777777" w:rsidR="00DE79BF" w:rsidRPr="007D0769" w:rsidRDefault="00DE79BF" w:rsidP="00DE79BF">
      <w:pPr>
        <w:keepNext/>
        <w:spacing w:after="0"/>
        <w:rPr>
          <w:rFonts w:eastAsia="Calibri" w:cs="Arial"/>
          <w:bCs/>
          <w:szCs w:val="16"/>
        </w:rPr>
      </w:pPr>
      <w:r w:rsidRPr="007D0769">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479C037E" w14:textId="77777777" w:rsidR="00DE79BF" w:rsidRPr="007D0769" w:rsidRDefault="00DE79BF" w:rsidP="00DE79BF">
      <w:pPr>
        <w:keepNext/>
        <w:spacing w:after="0"/>
        <w:rPr>
          <w:rFonts w:eastAsia="Calibri" w:cs="Arial"/>
          <w:b/>
          <w:szCs w:val="16"/>
        </w:rPr>
      </w:pPr>
      <w:r w:rsidRPr="007D0769">
        <w:rPr>
          <w:rFonts w:eastAsia="Calibri" w:cs="Arial"/>
          <w:b/>
          <w:szCs w:val="16"/>
        </w:rPr>
        <w:t>Measurement</w:t>
      </w:r>
    </w:p>
    <w:p w14:paraId="473ED981" w14:textId="77777777" w:rsidR="00DE79BF" w:rsidRPr="007D0769" w:rsidRDefault="00DE79BF" w:rsidP="00DE79BF">
      <w:pPr>
        <w:keepNext/>
        <w:spacing w:after="0"/>
        <w:rPr>
          <w:rFonts w:eastAsia="Calibri" w:cs="Arial"/>
          <w:szCs w:val="16"/>
        </w:rPr>
      </w:pPr>
      <w:r w:rsidRPr="007D0769">
        <w:rPr>
          <w:rFonts w:eastAsia="Calibri" w:cs="Arial"/>
          <w:szCs w:val="16"/>
        </w:rPr>
        <w:t xml:space="preserve">This SPP/APR indicator requires </w:t>
      </w:r>
      <w:proofErr w:type="gramStart"/>
      <w:r w:rsidRPr="007D0769">
        <w:rPr>
          <w:rFonts w:eastAsia="Calibri" w:cs="Arial"/>
          <w:szCs w:val="16"/>
        </w:rPr>
        <w:t>the reporting</w:t>
      </w:r>
      <w:proofErr w:type="gramEnd"/>
      <w:r w:rsidRPr="007D0769">
        <w:rPr>
          <w:rFonts w:eastAsia="Calibri" w:cs="Arial"/>
          <w:szCs w:val="16"/>
        </w:rPr>
        <w:t xml:space="preserve"> on the </w:t>
      </w:r>
      <w:proofErr w:type="gramStart"/>
      <w:r w:rsidRPr="007D0769">
        <w:rPr>
          <w:rFonts w:eastAsia="Calibri" w:cs="Arial"/>
          <w:szCs w:val="16"/>
        </w:rPr>
        <w:t>percent</w:t>
      </w:r>
      <w:proofErr w:type="gramEnd"/>
      <w:r w:rsidRPr="007D0769">
        <w:rPr>
          <w:rFonts w:eastAsia="Calibri" w:cs="Arial"/>
          <w:szCs w:val="16"/>
        </w:rPr>
        <w:t xml:space="preserve"> of findings of noncompliance corrected within one year of identification: </w:t>
      </w:r>
    </w:p>
    <w:p w14:paraId="512B16CF"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issued the prior Federal fiscal year (FFY) (e.g., for the FFY 2024 submission, use FFY 2023, July 1, 2023 – June 30, 2024)</w:t>
      </w:r>
    </w:p>
    <w:p w14:paraId="7D16E115" w14:textId="77777777"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the State verified were corrected no later than one year after the State’s written notification of findings of noncompliance</w:t>
      </w:r>
    </w:p>
    <w:p w14:paraId="71C5D351" w14:textId="77777777" w:rsidR="00DE79BF" w:rsidRDefault="00DE79BF" w:rsidP="00DE79BF">
      <w:pPr>
        <w:keepNext/>
        <w:spacing w:after="0"/>
        <w:rPr>
          <w:rFonts w:eastAsia="Calibri" w:cs="Arial"/>
          <w:szCs w:val="16"/>
        </w:rPr>
      </w:pPr>
      <w:r w:rsidRPr="007D0769">
        <w:rPr>
          <w:rFonts w:eastAsia="Calibri" w:cs="Arial"/>
          <w:szCs w:val="16"/>
        </w:rPr>
        <w:t>Percent = [(b) divided by (a)] times 100</w:t>
      </w:r>
    </w:p>
    <w:p w14:paraId="4D48D1D2" w14:textId="77777777" w:rsidR="00CD53D3" w:rsidRPr="007D0769" w:rsidRDefault="00CD53D3" w:rsidP="00CD53D3">
      <w:pPr>
        <w:keepNext/>
        <w:spacing w:after="0"/>
        <w:rPr>
          <w:rFonts w:eastAsia="Calibri" w:cs="Arial"/>
          <w:b/>
          <w:szCs w:val="16"/>
        </w:rPr>
      </w:pPr>
      <w:r w:rsidRPr="007D0769">
        <w:rPr>
          <w:rFonts w:eastAsia="Calibri" w:cs="Arial"/>
          <w:b/>
          <w:szCs w:val="16"/>
        </w:rPr>
        <w:t>Instructions</w:t>
      </w:r>
    </w:p>
    <w:p w14:paraId="7DA647D1" w14:textId="77777777" w:rsidR="00CD53D3" w:rsidRPr="007D0769" w:rsidRDefault="00CD53D3" w:rsidP="00CD53D3">
      <w:pPr>
        <w:rPr>
          <w:rFonts w:eastAsia="Calibri" w:cs="Arial"/>
          <w:szCs w:val="16"/>
        </w:rPr>
      </w:pPr>
      <w:r w:rsidRPr="007D0769">
        <w:rPr>
          <w:rFonts w:eastAsia="Calibri" w:cs="Arial"/>
          <w:szCs w:val="16"/>
        </w:rPr>
        <w:t xml:space="preserve">Targets must be 100%. </w:t>
      </w:r>
    </w:p>
    <w:p w14:paraId="6F1E17A8" w14:textId="77777777" w:rsidR="00CD53D3" w:rsidRPr="00EC51AB" w:rsidRDefault="00CD53D3" w:rsidP="00CD53D3">
      <w:pPr>
        <w:keepNext/>
        <w:spacing w:after="0"/>
        <w:rPr>
          <w:rFonts w:eastAsia="Calibri" w:cs="Arial"/>
          <w:i/>
          <w:iCs/>
          <w:szCs w:val="16"/>
        </w:rPr>
      </w:pPr>
      <w:r w:rsidRPr="00EC51AB">
        <w:rPr>
          <w:rFonts w:eastAsia="Calibri" w:cs="Arial"/>
          <w:i/>
          <w:iCs/>
          <w:szCs w:val="16"/>
        </w:rPr>
        <w:t>States are required to complete the General Supervision Data Table within the online reporting tool.</w:t>
      </w:r>
    </w:p>
    <w:p w14:paraId="707E7640" w14:textId="77777777" w:rsidR="00CD53D3" w:rsidRPr="002A486B" w:rsidRDefault="00CD53D3" w:rsidP="00CD53D3">
      <w:pPr>
        <w:rPr>
          <w:rFonts w:eastAsia="Calibri" w:cs="Arial"/>
          <w:b/>
          <w:bCs/>
          <w:iCs/>
          <w:szCs w:val="16"/>
        </w:rPr>
      </w:pPr>
      <w:r w:rsidRPr="002A486B">
        <w:rPr>
          <w:rFonts w:eastAsia="Calibri" w:cs="Arial"/>
          <w:szCs w:val="16"/>
        </w:rPr>
        <w:t>Report in Column A, the number of findings of noncompliance made in FFY 2023 (July 1, 2023 – June 30, 2024), as reported in the compliance indicator, and report in Column C1, the number of those findings which were timely corrected, as soon as possible and in no case later than one year after the State’s written notification of noncompliance. Report in Column B, t</w:t>
      </w:r>
      <w:r w:rsidRPr="002A486B">
        <w:rPr>
          <w:rFonts w:eastAsia="Calibri" w:cs="Arial"/>
          <w:iCs/>
          <w:szCs w:val="16"/>
        </w:rPr>
        <w:t xml:space="preserve">he number of additional findings </w:t>
      </w:r>
      <w:r>
        <w:rPr>
          <w:rFonts w:eastAsia="Calibri" w:cs="Arial"/>
          <w:iCs/>
          <w:szCs w:val="16"/>
        </w:rPr>
        <w:t xml:space="preserve">of noncompliance related to the compliance indicator made in FFY 2023 (July 1, 2023-June 30, 2024) </w:t>
      </w:r>
      <w:r w:rsidRPr="002A486B">
        <w:rPr>
          <w:rFonts w:eastAsia="Calibri" w:cs="Arial"/>
          <w:iCs/>
          <w:szCs w:val="16"/>
        </w:rPr>
        <w:t>and</w:t>
      </w:r>
      <w:r>
        <w:rPr>
          <w:rFonts w:eastAsia="Calibri" w:cs="Arial"/>
          <w:iCs/>
          <w:szCs w:val="16"/>
        </w:rPr>
        <w:t xml:space="preserve"> report in Column C2,</w:t>
      </w:r>
      <w:r w:rsidRPr="002A486B">
        <w:rPr>
          <w:rFonts w:eastAsia="Calibri" w:cs="Arial"/>
          <w:iCs/>
          <w:szCs w:val="16"/>
        </w:rPr>
        <w:t xml:space="preserve"> the number of those additional findings </w:t>
      </w:r>
      <w:r>
        <w:rPr>
          <w:rFonts w:eastAsia="Calibri" w:cs="Arial"/>
          <w:iCs/>
          <w:szCs w:val="16"/>
        </w:rPr>
        <w:t>related to the compliance indicator</w:t>
      </w:r>
      <w:r w:rsidRPr="002A486B">
        <w:rPr>
          <w:rFonts w:eastAsia="Calibri" w:cs="Arial"/>
          <w:iCs/>
          <w:szCs w:val="16"/>
        </w:rPr>
        <w:t xml:space="preserve"> which were timely corrected, as soon as possible and in no case later than one year after the State’s written notification of noncompliance. </w:t>
      </w:r>
    </w:p>
    <w:p w14:paraId="3E8B5695" w14:textId="77777777" w:rsidR="00CD53D3" w:rsidRPr="007D0769" w:rsidRDefault="00CD53D3" w:rsidP="00CD53D3">
      <w:pPr>
        <w:rPr>
          <w:rFonts w:eastAsia="Calibri" w:cs="Arial"/>
          <w:iCs/>
          <w:szCs w:val="16"/>
        </w:rPr>
      </w:pPr>
      <w:r w:rsidRPr="007D0769">
        <w:rPr>
          <w:rFonts w:eastAsia="Calibri" w:cs="Arial"/>
          <w:iCs/>
          <w:szCs w:val="16"/>
        </w:rPr>
        <w:t xml:space="preserve">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14:paraId="02856A2C" w14:textId="77777777" w:rsidR="00DE79BF" w:rsidRDefault="00CD53D3" w:rsidP="00CD53D3">
      <w:pPr>
        <w:rPr>
          <w:rFonts w:eastAsia="Calibri" w:cs="Arial"/>
          <w:szCs w:val="16"/>
        </w:rPr>
      </w:pPr>
      <w:r w:rsidRPr="00AB52AD">
        <w:rPr>
          <w:szCs w:val="16"/>
        </w:rPr>
        <w:t xml:space="preserve">Provide detailed information about the timely correction of </w:t>
      </w:r>
      <w:r w:rsidRPr="009C5A4A">
        <w:rPr>
          <w:color w:val="000000" w:themeColor="text1"/>
          <w:szCs w:val="16"/>
        </w:rPr>
        <w:t xml:space="preserve">child-specific and regulatory/systemic </w:t>
      </w:r>
      <w:r w:rsidRPr="00AB52AD">
        <w:rPr>
          <w:szCs w:val="16"/>
        </w:rPr>
        <w:t xml:space="preserve">noncompliance as noted in OSEP’s response for the previous SPP/APR. If the State did not ensure timely correction of the previous </w:t>
      </w:r>
      <w:r>
        <w:rPr>
          <w:szCs w:val="16"/>
        </w:rPr>
        <w:t xml:space="preserve">findings of </w:t>
      </w:r>
      <w:r w:rsidRPr="00AB52AD">
        <w:rPr>
          <w:szCs w:val="16"/>
        </w:rPr>
        <w:t xml:space="preserve">noncompliance, provide information on the extent to which noncompliance was subsequently corrected (more than one year after identification). In addition, provide information regarding the nature of any continuing noncompliance </w:t>
      </w:r>
      <w:r>
        <w:rPr>
          <w:szCs w:val="16"/>
        </w:rPr>
        <w:t>and the</w:t>
      </w:r>
      <w:r w:rsidRPr="00AB52AD">
        <w:rPr>
          <w:szCs w:val="16"/>
        </w:rPr>
        <w:t xml:space="preserve"> actions that </w:t>
      </w:r>
      <w:r>
        <w:rPr>
          <w:szCs w:val="16"/>
        </w:rPr>
        <w:t>have been</w:t>
      </w:r>
      <w:r w:rsidRPr="00AB52AD">
        <w:rPr>
          <w:szCs w:val="16"/>
        </w:rPr>
        <w:t xml:space="preserve"> taken</w:t>
      </w:r>
      <w:r>
        <w:rPr>
          <w:szCs w:val="16"/>
        </w:rPr>
        <w:t xml:space="preserve">, or will be taken, </w:t>
      </w:r>
      <w:r w:rsidRPr="007D0769">
        <w:rPr>
          <w:rFonts w:eastAsia="Calibri" w:cs="Arial"/>
          <w:szCs w:val="16"/>
        </w:rPr>
        <w:t>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5346DDDE" w14:textId="77777777" w:rsidR="00DE79BF" w:rsidRPr="007D0769" w:rsidRDefault="00E73FB9" w:rsidP="00EC51AB">
      <w:pPr>
        <w:pStyle w:val="Heading2"/>
      </w:pPr>
      <w:r>
        <w:t xml:space="preserve">12 - </w:t>
      </w:r>
      <w:r w:rsidR="00DE79BF" w:rsidRPr="007D0769">
        <w:t>Indicator Data</w:t>
      </w:r>
    </w:p>
    <w:p w14:paraId="60BA7D38" w14:textId="77777777" w:rsidR="00DE79BF" w:rsidRPr="007D0769" w:rsidRDefault="00DE79BF" w:rsidP="00DE79BF">
      <w:pPr>
        <w:keepNext/>
        <w:spacing w:after="0"/>
        <w:rPr>
          <w:rFonts w:eastAsia="Calibri" w:cs="Arial"/>
          <w:b/>
          <w:szCs w:val="16"/>
        </w:rPr>
      </w:pPr>
      <w:r w:rsidRPr="007D0769">
        <w:rPr>
          <w:rFonts w:eastAsia="Calibri" w:cs="Arial"/>
          <w:b/>
          <w:szCs w:val="16"/>
        </w:rPr>
        <w:t>Historical Data</w:t>
      </w:r>
    </w:p>
    <w:tbl>
      <w:tblPr>
        <w:tblStyle w:val="TableGrid"/>
        <w:tblW w:w="0" w:type="auto"/>
        <w:tblLayout w:type="fixed"/>
        <w:tblLook w:val="04A0" w:firstRow="1" w:lastRow="0" w:firstColumn="1" w:lastColumn="0" w:noHBand="0" w:noVBand="1"/>
        <w:tblCaption w:val="C12BASELINEDATA"/>
      </w:tblPr>
      <w:tblGrid>
        <w:gridCol w:w="1797"/>
        <w:gridCol w:w="1798"/>
      </w:tblGrid>
      <w:tr w:rsidR="00DE79BF" w:rsidRPr="007D0769" w14:paraId="7D95C06C" w14:textId="77777777" w:rsidTr="00EC51AB">
        <w:trPr>
          <w:trHeight w:val="360"/>
          <w:tblHeader/>
        </w:trPr>
        <w:tc>
          <w:tcPr>
            <w:tcW w:w="1797" w:type="dxa"/>
          </w:tcPr>
          <w:p w14:paraId="6D62A994"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Year</w:t>
            </w:r>
          </w:p>
        </w:tc>
        <w:tc>
          <w:tcPr>
            <w:tcW w:w="1798" w:type="dxa"/>
          </w:tcPr>
          <w:p w14:paraId="7D10839B"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Data</w:t>
            </w:r>
          </w:p>
        </w:tc>
      </w:tr>
      <w:tr w:rsidR="00DE79BF" w:rsidRPr="007D0769" w14:paraId="271386C4" w14:textId="77777777" w:rsidTr="00EC51AB">
        <w:trPr>
          <w:trHeight w:val="360"/>
          <w:tblHeader/>
        </w:trPr>
        <w:tc>
          <w:tcPr>
            <w:tcW w:w="1797" w:type="dxa"/>
          </w:tcPr>
          <w:p w14:paraId="7503FDD2" w14:textId="77777777" w:rsidR="00DE79BF" w:rsidRPr="007D0769" w:rsidRDefault="00DE79BF" w:rsidP="00DE79BF">
            <w:pPr>
              <w:jc w:val="center"/>
              <w:rPr>
                <w:rFonts w:eastAsia="Calibri" w:cs="Arial"/>
                <w:b/>
                <w:color w:val="000000"/>
                <w:szCs w:val="16"/>
              </w:rPr>
            </w:pPr>
            <w:r w:rsidRPr="00ED172B">
              <w:rPr>
                <w:color w:val="000000" w:themeColor="text1"/>
              </w:rPr>
              <w:t>2023</w:t>
            </w:r>
          </w:p>
        </w:tc>
        <w:tc>
          <w:tcPr>
            <w:tcW w:w="1798" w:type="dxa"/>
            <w:vAlign w:val="center"/>
          </w:tcPr>
          <w:p w14:paraId="352D549B" w14:textId="77777777" w:rsidR="00DE79BF" w:rsidRPr="007D0769" w:rsidRDefault="00DE79BF" w:rsidP="00DE79BF">
            <w:pPr>
              <w:jc w:val="center"/>
              <w:rPr>
                <w:rFonts w:eastAsia="Calibri" w:cs="Arial"/>
                <w:b/>
                <w:color w:val="000000"/>
                <w:szCs w:val="16"/>
              </w:rPr>
            </w:pPr>
            <w:r w:rsidRPr="00ED172B">
              <w:rPr>
                <w:color w:val="000000" w:themeColor="text1"/>
              </w:rPr>
              <w:t>100.00%</w:t>
            </w:r>
          </w:p>
        </w:tc>
      </w:tr>
    </w:tbl>
    <w:p w14:paraId="3325D97B" w14:textId="77777777" w:rsidR="00C81504" w:rsidRDefault="00C81504" w:rsidP="00DE79B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12HISTDATA"/>
      </w:tblPr>
      <w:tblGrid>
        <w:gridCol w:w="1797"/>
        <w:gridCol w:w="1797"/>
        <w:gridCol w:w="1800"/>
        <w:gridCol w:w="1798"/>
        <w:gridCol w:w="1798"/>
        <w:gridCol w:w="1800"/>
      </w:tblGrid>
      <w:tr w:rsidR="00E61C4B" w14:paraId="74C34339" w14:textId="77777777" w:rsidTr="00E61C4B">
        <w:trPr>
          <w:trHeight w:val="350"/>
        </w:trPr>
        <w:tc>
          <w:tcPr>
            <w:tcW w:w="833" w:type="pct"/>
            <w:hideMark/>
          </w:tcPr>
          <w:p w14:paraId="4E151A13"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FFY</w:t>
            </w:r>
          </w:p>
        </w:tc>
        <w:tc>
          <w:tcPr>
            <w:tcW w:w="833" w:type="pct"/>
            <w:hideMark/>
          </w:tcPr>
          <w:p w14:paraId="1A96354E"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2019</w:t>
            </w:r>
          </w:p>
        </w:tc>
        <w:tc>
          <w:tcPr>
            <w:tcW w:w="834" w:type="pct"/>
            <w:hideMark/>
          </w:tcPr>
          <w:p w14:paraId="0F87A21E"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2020</w:t>
            </w:r>
          </w:p>
        </w:tc>
        <w:tc>
          <w:tcPr>
            <w:tcW w:w="833" w:type="pct"/>
            <w:vAlign w:val="center"/>
            <w:hideMark/>
          </w:tcPr>
          <w:p w14:paraId="616315E3"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2021</w:t>
            </w:r>
          </w:p>
        </w:tc>
        <w:tc>
          <w:tcPr>
            <w:tcW w:w="833" w:type="pct"/>
            <w:vAlign w:val="center"/>
            <w:hideMark/>
          </w:tcPr>
          <w:p w14:paraId="314BA020"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2022</w:t>
            </w:r>
          </w:p>
        </w:tc>
        <w:tc>
          <w:tcPr>
            <w:tcW w:w="834" w:type="pct"/>
            <w:vAlign w:val="center"/>
            <w:hideMark/>
          </w:tcPr>
          <w:p w14:paraId="3D4AAC5D"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2023</w:t>
            </w:r>
          </w:p>
        </w:tc>
      </w:tr>
      <w:tr w:rsidR="00E61C4B" w14:paraId="4718AA42" w14:textId="77777777" w:rsidTr="00E61C4B">
        <w:trPr>
          <w:trHeight w:val="357"/>
        </w:trPr>
        <w:tc>
          <w:tcPr>
            <w:tcW w:w="833" w:type="pct"/>
            <w:hideMark/>
          </w:tcPr>
          <w:p w14:paraId="01F6E0F0"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Target</w:t>
            </w:r>
          </w:p>
        </w:tc>
        <w:tc>
          <w:tcPr>
            <w:tcW w:w="833" w:type="pct"/>
            <w:hideMark/>
          </w:tcPr>
          <w:p w14:paraId="77201B25" w14:textId="77777777" w:rsidR="00DC2E2E" w:rsidRPr="00A33FE0" w:rsidRDefault="00DC2E2E" w:rsidP="00B65DD4">
            <w:pPr>
              <w:spacing w:before="0" w:after="0"/>
              <w:jc w:val="center"/>
              <w:rPr>
                <w:rFonts w:cs="Arial"/>
                <w:b/>
                <w:bCs/>
                <w:color w:val="000000" w:themeColor="text1"/>
                <w:szCs w:val="16"/>
              </w:rPr>
            </w:pPr>
            <w:r w:rsidRPr="00A33FE0">
              <w:rPr>
                <w:rFonts w:cs="Arial"/>
                <w:color w:val="000000" w:themeColor="text1"/>
                <w:szCs w:val="16"/>
              </w:rPr>
              <w:t>100%</w:t>
            </w:r>
          </w:p>
        </w:tc>
        <w:tc>
          <w:tcPr>
            <w:tcW w:w="834" w:type="pct"/>
            <w:hideMark/>
          </w:tcPr>
          <w:p w14:paraId="25BE50FB"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11358561"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4D4A85B2"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4" w:type="pct"/>
            <w:hideMark/>
          </w:tcPr>
          <w:p w14:paraId="3EF7E4FE"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w:t>
            </w:r>
          </w:p>
        </w:tc>
      </w:tr>
      <w:tr w:rsidR="00E61C4B" w14:paraId="51E8B829" w14:textId="77777777" w:rsidTr="00E61C4B">
        <w:trPr>
          <w:trHeight w:val="85"/>
        </w:trPr>
        <w:tc>
          <w:tcPr>
            <w:tcW w:w="833" w:type="pct"/>
            <w:hideMark/>
          </w:tcPr>
          <w:p w14:paraId="1848727B"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Data</w:t>
            </w:r>
          </w:p>
        </w:tc>
        <w:tc>
          <w:tcPr>
            <w:tcW w:w="833" w:type="pct"/>
            <w:hideMark/>
          </w:tcPr>
          <w:p w14:paraId="2E5C9D9E" w14:textId="77777777" w:rsidR="00DC2E2E" w:rsidRDefault="00DC2E2E" w:rsidP="00B65DD4">
            <w:pPr>
              <w:spacing w:before="0" w:after="0"/>
              <w:jc w:val="center"/>
              <w:rPr>
                <w:rFonts w:cs="Arial"/>
                <w:color w:val="000000" w:themeColor="text1"/>
                <w:szCs w:val="16"/>
              </w:rPr>
            </w:pPr>
          </w:p>
        </w:tc>
        <w:tc>
          <w:tcPr>
            <w:tcW w:w="834" w:type="pct"/>
            <w:hideMark/>
          </w:tcPr>
          <w:p w14:paraId="3217946F" w14:textId="77777777" w:rsidR="00DC2E2E" w:rsidRDefault="00DC2E2E" w:rsidP="00B65DD4">
            <w:pPr>
              <w:spacing w:before="0" w:after="0"/>
              <w:jc w:val="center"/>
              <w:rPr>
                <w:rFonts w:cs="Arial"/>
                <w:color w:val="000000" w:themeColor="text1"/>
                <w:szCs w:val="16"/>
              </w:rPr>
            </w:pPr>
          </w:p>
        </w:tc>
        <w:tc>
          <w:tcPr>
            <w:tcW w:w="833" w:type="pct"/>
            <w:hideMark/>
          </w:tcPr>
          <w:p w14:paraId="4DA63E97" w14:textId="77777777" w:rsidR="00DC2E2E" w:rsidRDefault="00DC2E2E" w:rsidP="00B65DD4">
            <w:pPr>
              <w:spacing w:before="0" w:after="0"/>
              <w:jc w:val="center"/>
              <w:rPr>
                <w:rFonts w:cs="Arial"/>
                <w:color w:val="000000" w:themeColor="text1"/>
                <w:szCs w:val="16"/>
              </w:rPr>
            </w:pPr>
          </w:p>
        </w:tc>
        <w:tc>
          <w:tcPr>
            <w:tcW w:w="833" w:type="pct"/>
            <w:hideMark/>
          </w:tcPr>
          <w:p w14:paraId="7DBBFFA4" w14:textId="77777777" w:rsidR="00DC2E2E" w:rsidRDefault="00DC2E2E" w:rsidP="00B65DD4">
            <w:pPr>
              <w:spacing w:before="0" w:after="0"/>
              <w:jc w:val="center"/>
              <w:rPr>
                <w:rFonts w:cs="Arial"/>
                <w:color w:val="000000" w:themeColor="text1"/>
                <w:szCs w:val="16"/>
              </w:rPr>
            </w:pPr>
          </w:p>
        </w:tc>
        <w:tc>
          <w:tcPr>
            <w:tcW w:w="834" w:type="pct"/>
            <w:hideMark/>
          </w:tcPr>
          <w:p w14:paraId="304B4026" w14:textId="77777777" w:rsidR="00DC2E2E" w:rsidRDefault="00DC2E2E" w:rsidP="00B65DD4">
            <w:pPr>
              <w:spacing w:before="0" w:after="0"/>
              <w:jc w:val="center"/>
              <w:rPr>
                <w:rFonts w:cs="Arial"/>
                <w:color w:val="000000" w:themeColor="text1"/>
                <w:szCs w:val="16"/>
              </w:rPr>
            </w:pPr>
            <w:r>
              <w:rPr>
                <w:rFonts w:cs="Arial"/>
                <w:color w:val="000000" w:themeColor="text1"/>
                <w:szCs w:val="16"/>
              </w:rPr>
              <w:t>100.00%</w:t>
            </w:r>
          </w:p>
        </w:tc>
      </w:tr>
    </w:tbl>
    <w:p w14:paraId="67EDEC3C" w14:textId="77777777" w:rsidR="00DC2E2E" w:rsidRDefault="00DC2E2E" w:rsidP="00DE79BF">
      <w:pPr>
        <w:rPr>
          <w:rFonts w:eastAsia="Calibri" w:cs="Arial"/>
          <w:b/>
          <w:szCs w:val="16"/>
        </w:rPr>
      </w:pPr>
    </w:p>
    <w:p w14:paraId="2D8CB6DB" w14:textId="77777777" w:rsidR="00DE79BF" w:rsidRPr="007D0769" w:rsidRDefault="00DE79BF" w:rsidP="00DE79BF">
      <w:pPr>
        <w:rPr>
          <w:rFonts w:eastAsia="Calibri" w:cs="Arial"/>
          <w:b/>
          <w:szCs w:val="16"/>
        </w:rPr>
      </w:pPr>
      <w:r w:rsidRPr="007D0769">
        <w:rPr>
          <w:rFonts w:eastAsia="Calibri" w:cs="Arial"/>
          <w:b/>
          <w:szCs w:val="16"/>
        </w:rPr>
        <w:t>Targets</w:t>
      </w:r>
    </w:p>
    <w:tbl>
      <w:tblPr>
        <w:tblStyle w:val="TableGrid1"/>
        <w:tblW w:w="2691" w:type="pct"/>
        <w:tblLook w:val="0020" w:firstRow="1" w:lastRow="0" w:firstColumn="0" w:lastColumn="0" w:noHBand="0" w:noVBand="0"/>
        <w:tblCaption w:val="C12TARGETS"/>
      </w:tblPr>
      <w:tblGrid>
        <w:gridCol w:w="679"/>
        <w:gridCol w:w="2475"/>
        <w:gridCol w:w="2653"/>
      </w:tblGrid>
      <w:tr w:rsidR="00CF59E2" w:rsidRPr="007D0769" w14:paraId="18AAD334" w14:textId="77777777" w:rsidTr="00811738">
        <w:trPr>
          <w:trHeight w:val="360"/>
        </w:trPr>
        <w:tc>
          <w:tcPr>
            <w:tcW w:w="585" w:type="pct"/>
          </w:tcPr>
          <w:p w14:paraId="0A4FA91B" w14:textId="77777777" w:rsidR="00CF59E2" w:rsidRPr="007D0769" w:rsidRDefault="00CF59E2" w:rsidP="006B5AEF">
            <w:pPr>
              <w:keepNext/>
              <w:jc w:val="center"/>
              <w:rPr>
                <w:rFonts w:eastAsia="Calibri" w:cs="Arial"/>
                <w:b/>
                <w:szCs w:val="16"/>
              </w:rPr>
            </w:pPr>
            <w:r w:rsidRPr="007D0769">
              <w:rPr>
                <w:rFonts w:eastAsia="Calibri" w:cs="Arial"/>
                <w:b/>
                <w:szCs w:val="16"/>
              </w:rPr>
              <w:t>FFY</w:t>
            </w:r>
          </w:p>
        </w:tc>
        <w:tc>
          <w:tcPr>
            <w:tcW w:w="2131" w:type="pct"/>
            <w:vAlign w:val="center"/>
          </w:tcPr>
          <w:p w14:paraId="2D173778" w14:textId="77777777" w:rsidR="00CF59E2" w:rsidRPr="007D0769" w:rsidRDefault="00CF59E2" w:rsidP="006675B4">
            <w:pPr>
              <w:keepNext/>
              <w:jc w:val="center"/>
              <w:rPr>
                <w:rFonts w:eastAsia="Calibri" w:cs="Arial"/>
                <w:b/>
                <w:bCs/>
                <w:szCs w:val="16"/>
              </w:rPr>
            </w:pPr>
            <w:r w:rsidRPr="00ED172B">
              <w:rPr>
                <w:b/>
                <w:color w:val="000000" w:themeColor="text1"/>
              </w:rPr>
              <w:t>2024</w:t>
            </w:r>
          </w:p>
        </w:tc>
        <w:tc>
          <w:tcPr>
            <w:tcW w:w="2284" w:type="pct"/>
          </w:tcPr>
          <w:p w14:paraId="6EB7B515" w14:textId="77777777" w:rsidR="00CF59E2" w:rsidRPr="007D0769" w:rsidDel="00654CAF" w:rsidRDefault="00CF59E2" w:rsidP="006675B4">
            <w:pPr>
              <w:keepNext/>
              <w:jc w:val="center"/>
              <w:rPr>
                <w:rFonts w:eastAsia="Calibri" w:cs="Arial"/>
                <w:b/>
                <w:bCs/>
                <w:szCs w:val="16"/>
              </w:rPr>
            </w:pPr>
            <w:r>
              <w:rPr>
                <w:rFonts w:cs="Arial"/>
                <w:b/>
                <w:color w:val="000000" w:themeColor="text1"/>
                <w:szCs w:val="16"/>
              </w:rPr>
              <w:t>2025</w:t>
            </w:r>
          </w:p>
        </w:tc>
      </w:tr>
      <w:tr w:rsidR="00CF59E2" w:rsidRPr="007D0769" w14:paraId="7E8A5B1D" w14:textId="77777777" w:rsidTr="00811738">
        <w:trPr>
          <w:trHeight w:val="360"/>
        </w:trPr>
        <w:tc>
          <w:tcPr>
            <w:tcW w:w="585" w:type="pct"/>
          </w:tcPr>
          <w:p w14:paraId="6C752D02" w14:textId="77777777" w:rsidR="00CF59E2" w:rsidRPr="007D0769" w:rsidRDefault="00CF59E2" w:rsidP="00277E7F">
            <w:pPr>
              <w:rPr>
                <w:rFonts w:eastAsia="Calibri" w:cs="Arial"/>
                <w:szCs w:val="16"/>
              </w:rPr>
            </w:pPr>
            <w:r w:rsidRPr="007D0769">
              <w:rPr>
                <w:rFonts w:eastAsia="Calibri" w:cs="Arial"/>
                <w:szCs w:val="16"/>
              </w:rPr>
              <w:t>Target</w:t>
            </w:r>
          </w:p>
        </w:tc>
        <w:tc>
          <w:tcPr>
            <w:tcW w:w="2131" w:type="pct"/>
            <w:vAlign w:val="center"/>
          </w:tcPr>
          <w:p w14:paraId="664C8BA1" w14:textId="77777777" w:rsidR="00CF59E2" w:rsidRPr="007D0769" w:rsidRDefault="00CF59E2" w:rsidP="00277E7F">
            <w:pPr>
              <w:jc w:val="center"/>
              <w:rPr>
                <w:rFonts w:eastAsia="Calibri" w:cs="Arial"/>
                <w:caps/>
                <w:color w:val="548DD4"/>
                <w:szCs w:val="16"/>
              </w:rPr>
            </w:pPr>
            <w:r w:rsidRPr="00ED172B">
              <w:rPr>
                <w:color w:val="000000" w:themeColor="text1"/>
              </w:rPr>
              <w:t>100%</w:t>
            </w:r>
          </w:p>
        </w:tc>
        <w:tc>
          <w:tcPr>
            <w:tcW w:w="2284" w:type="pct"/>
          </w:tcPr>
          <w:p w14:paraId="21957A87" w14:textId="77777777" w:rsidR="00CF59E2" w:rsidRPr="007D0769" w:rsidRDefault="00CF59E2" w:rsidP="00277E7F">
            <w:pPr>
              <w:jc w:val="center"/>
              <w:rPr>
                <w:rFonts w:eastAsia="Calibri" w:cs="Arial"/>
                <w:caps/>
                <w:color w:val="548DD4"/>
                <w:szCs w:val="16"/>
              </w:rPr>
            </w:pPr>
            <w:r>
              <w:rPr>
                <w:rFonts w:cs="Arial"/>
                <w:color w:val="000000" w:themeColor="text1"/>
                <w:szCs w:val="16"/>
              </w:rPr>
              <w:t>100%</w:t>
            </w:r>
          </w:p>
        </w:tc>
      </w:tr>
    </w:tbl>
    <w:p w14:paraId="1CD67214" w14:textId="77777777" w:rsidR="000770F0" w:rsidRPr="007D0769" w:rsidRDefault="000770F0" w:rsidP="00277E7F">
      <w:pPr>
        <w:rPr>
          <w:rFonts w:eastAsia="Calibri" w:cs="Arial"/>
          <w:b/>
          <w:szCs w:val="16"/>
        </w:rPr>
      </w:pPr>
    </w:p>
    <w:p w14:paraId="69E33D8F" w14:textId="77777777" w:rsidR="00277E7F" w:rsidRPr="007D0769" w:rsidRDefault="00277E7F" w:rsidP="00277E7F">
      <w:pPr>
        <w:rPr>
          <w:rFonts w:eastAsia="Times New Roman" w:cs="Arial"/>
          <w:b/>
          <w:bCs/>
          <w:szCs w:val="16"/>
        </w:rPr>
      </w:pPr>
      <w:r w:rsidRPr="007D0769">
        <w:rPr>
          <w:rFonts w:eastAsia="Times New Roman" w:cs="Arial"/>
          <w:b/>
          <w:bCs/>
          <w:szCs w:val="16"/>
        </w:rPr>
        <w:t>Indicator 1. Percent of infants and toddlers with Individual Family Service Plans (IFSPs) who receive the early intervention services on their IFSPs in a timely manner. (20 U.S.C. 1416(a)(3)(A) and 1442)</w:t>
      </w:r>
    </w:p>
    <w:p w14:paraId="4DBD7E0D" w14:textId="77777777" w:rsidR="00277E7F" w:rsidRDefault="00277E7F" w:rsidP="00277E7F">
      <w:pPr>
        <w:spacing w:after="0"/>
        <w:textAlignment w:val="baseline"/>
        <w:rPr>
          <w:rFonts w:eastAsia="Times New Roman" w:cs="Arial"/>
          <w:b/>
          <w:bCs/>
          <w:szCs w:val="16"/>
        </w:rPr>
      </w:pPr>
      <w:r w:rsidRPr="007D0769">
        <w:rPr>
          <w:rFonts w:eastAsia="Times New Roman" w:cs="Arial"/>
          <w:b/>
          <w:bCs/>
          <w:szCs w:val="16"/>
        </w:rPr>
        <w:t>Findings of Noncompliance Identified in FFY 2023</w:t>
      </w:r>
    </w:p>
    <w:tbl>
      <w:tblPr>
        <w:tblStyle w:val="TableGrid"/>
        <w:tblW w:w="4952" w:type="pct"/>
        <w:tblInd w:w="103" w:type="dxa"/>
        <w:tblLayout w:type="fixed"/>
        <w:tblLook w:val="04A0" w:firstRow="1" w:lastRow="0" w:firstColumn="1" w:lastColumn="0" w:noHBand="0" w:noVBand="1"/>
        <w:tblCaption w:val="C12FONC01"/>
      </w:tblPr>
      <w:tblGrid>
        <w:gridCol w:w="1634"/>
        <w:gridCol w:w="2265"/>
        <w:gridCol w:w="2030"/>
        <w:gridCol w:w="2340"/>
        <w:gridCol w:w="2417"/>
      </w:tblGrid>
      <w:tr w:rsidR="001B2809" w:rsidRPr="007D0769" w14:paraId="5FDAA7B7" w14:textId="77777777" w:rsidTr="00EC51AB">
        <w:trPr>
          <w:trHeight w:val="360"/>
          <w:tblHeader/>
        </w:trPr>
        <w:tc>
          <w:tcPr>
            <w:tcW w:w="764" w:type="pct"/>
          </w:tcPr>
          <w:p w14:paraId="79999029"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1060" w:type="pct"/>
          </w:tcPr>
          <w:p w14:paraId="133C7420" w14:textId="77777777" w:rsidR="00277E7F" w:rsidRPr="007D0769" w:rsidRDefault="00277E7F"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950" w:type="pct"/>
          </w:tcPr>
          <w:p w14:paraId="113FB397"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1095" w:type="pct"/>
          </w:tcPr>
          <w:p w14:paraId="53D951AA" w14:textId="77777777" w:rsidR="00277E7F" w:rsidRPr="007D0769" w:rsidRDefault="00277E7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1132" w:type="pct"/>
          </w:tcPr>
          <w:p w14:paraId="531ECE3C" w14:textId="77777777" w:rsidR="00277E7F" w:rsidRPr="007D0769" w:rsidRDefault="00277E7F"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1B2809" w:rsidRPr="00AC243A" w14:paraId="538A20F6" w14:textId="77777777" w:rsidTr="00EC51AB">
        <w:trPr>
          <w:trHeight w:val="360"/>
          <w:tblHeader/>
        </w:trPr>
        <w:tc>
          <w:tcPr>
            <w:tcW w:w="764" w:type="pct"/>
          </w:tcPr>
          <w:p w14:paraId="6261021A" w14:textId="77777777" w:rsidR="00277E7F" w:rsidRPr="007D0769" w:rsidRDefault="004A08EB">
            <w:pPr>
              <w:jc w:val="center"/>
              <w:textAlignment w:val="baseline"/>
              <w:rPr>
                <w:rFonts w:eastAsia="Times New Roman" w:cs="Arial"/>
                <w:b/>
                <w:bCs/>
                <w:szCs w:val="16"/>
              </w:rPr>
            </w:pPr>
            <w:r w:rsidRPr="00ED172B">
              <w:rPr>
                <w:rFonts w:cs="Arial"/>
                <w:color w:val="000000" w:themeColor="text1"/>
                <w:szCs w:val="16"/>
              </w:rPr>
              <w:t>0</w:t>
            </w:r>
          </w:p>
        </w:tc>
        <w:tc>
          <w:tcPr>
            <w:tcW w:w="1060" w:type="pct"/>
          </w:tcPr>
          <w:p w14:paraId="3E9A8B7E" w14:textId="77777777" w:rsidR="00277E7F" w:rsidRPr="007D0769" w:rsidRDefault="004152EB">
            <w:pPr>
              <w:ind w:left="45" w:right="77"/>
              <w:jc w:val="center"/>
              <w:textAlignment w:val="baseline"/>
              <w:rPr>
                <w:rFonts w:eastAsia="Times New Roman" w:cs="Arial"/>
                <w:b/>
                <w:bCs/>
                <w:szCs w:val="16"/>
              </w:rPr>
            </w:pPr>
            <w:r>
              <w:rPr>
                <w:rFonts w:eastAsia="Times New Roman" w:cs="Arial"/>
                <w:szCs w:val="16"/>
              </w:rPr>
              <w:t>0</w:t>
            </w:r>
          </w:p>
        </w:tc>
        <w:tc>
          <w:tcPr>
            <w:tcW w:w="950" w:type="pct"/>
          </w:tcPr>
          <w:p w14:paraId="49E637C4" w14:textId="77777777" w:rsidR="00277E7F" w:rsidRPr="007D0769" w:rsidRDefault="004A08EB">
            <w:pPr>
              <w:jc w:val="center"/>
              <w:textAlignment w:val="baseline"/>
              <w:rPr>
                <w:rFonts w:eastAsia="Times New Roman" w:cs="Arial"/>
                <w:b/>
                <w:bCs/>
                <w:szCs w:val="16"/>
              </w:rPr>
            </w:pPr>
            <w:r w:rsidRPr="00ED172B">
              <w:rPr>
                <w:rFonts w:cs="Arial"/>
                <w:color w:val="000000" w:themeColor="text1"/>
                <w:szCs w:val="16"/>
              </w:rPr>
              <w:t>0</w:t>
            </w:r>
          </w:p>
        </w:tc>
        <w:tc>
          <w:tcPr>
            <w:tcW w:w="1095" w:type="pct"/>
          </w:tcPr>
          <w:p w14:paraId="1FF62FA0" w14:textId="77777777" w:rsidR="00277E7F" w:rsidRPr="007D0769" w:rsidRDefault="004152EB">
            <w:pPr>
              <w:jc w:val="center"/>
              <w:textAlignment w:val="baseline"/>
              <w:rPr>
                <w:rFonts w:eastAsia="Times New Roman" w:cs="Arial"/>
                <w:b/>
                <w:bCs/>
                <w:szCs w:val="16"/>
              </w:rPr>
            </w:pPr>
            <w:r>
              <w:rPr>
                <w:rFonts w:eastAsia="Times New Roman" w:cs="Arial"/>
                <w:szCs w:val="16"/>
              </w:rPr>
              <w:t>0</w:t>
            </w:r>
          </w:p>
        </w:tc>
        <w:tc>
          <w:tcPr>
            <w:tcW w:w="1132" w:type="pct"/>
          </w:tcPr>
          <w:p w14:paraId="428DC34C" w14:textId="77777777" w:rsidR="00277E7F" w:rsidRPr="00727602" w:rsidRDefault="002E61D5" w:rsidP="00AC243A">
            <w:pPr>
              <w:jc w:val="center"/>
              <w:textAlignment w:val="baseline"/>
              <w:rPr>
                <w:rFonts w:eastAsia="Times New Roman" w:cs="Arial"/>
                <w:szCs w:val="16"/>
              </w:rPr>
            </w:pPr>
            <w:r w:rsidRPr="00727602">
              <w:rPr>
                <w:rFonts w:eastAsia="Times New Roman" w:cs="Arial"/>
                <w:szCs w:val="16"/>
              </w:rPr>
              <w:t>0</w:t>
            </w:r>
          </w:p>
        </w:tc>
      </w:tr>
    </w:tbl>
    <w:p w14:paraId="751F5BD9" w14:textId="77777777" w:rsidR="00277E7F" w:rsidRPr="00727602" w:rsidRDefault="00277E7F" w:rsidP="00277E7F">
      <w:pPr>
        <w:rPr>
          <w:rFonts w:eastAsia="Calibri" w:cs="Arial"/>
          <w:b/>
          <w:szCs w:val="16"/>
        </w:rPr>
      </w:pPr>
    </w:p>
    <w:p w14:paraId="4F1395E8" w14:textId="77777777" w:rsidR="005369EB" w:rsidRDefault="005369EB" w:rsidP="005369EB">
      <w:pPr>
        <w:keepNext/>
        <w:spacing w:after="0"/>
        <w:rPr>
          <w:rFonts w:eastAsia="Times New Roman" w:cs="Arial"/>
          <w:b/>
          <w:szCs w:val="16"/>
        </w:rPr>
      </w:pPr>
      <w:r w:rsidRPr="00E3228B">
        <w:rPr>
          <w:rFonts w:eastAsia="Times New Roman" w:cs="Arial"/>
          <w:b/>
          <w:szCs w:val="16"/>
        </w:rPr>
        <w:t xml:space="preserve">Please explain the source (e.g., State monitoring, State database/data system, dispute resolution, fiscal, related requirements, etc.) of any additional findings reported in Column B. </w:t>
      </w:r>
    </w:p>
    <w:p w14:paraId="3D6ACBB5" w14:textId="77777777" w:rsidR="00A51008" w:rsidRPr="00F7607B" w:rsidRDefault="00A51008" w:rsidP="005369EB">
      <w:pPr>
        <w:keepNext/>
        <w:spacing w:after="0"/>
        <w:rPr>
          <w:rFonts w:eastAsia="Times New Roman" w:cs="Arial"/>
          <w:bCs/>
          <w:szCs w:val="16"/>
        </w:rPr>
      </w:pPr>
      <w:r w:rsidRPr="00F7607B">
        <w:rPr>
          <w:rFonts w:eastAsia="Times New Roman" w:cs="Arial"/>
          <w:bCs/>
          <w:szCs w:val="16"/>
        </w:rPr>
        <w:t>No findings were issued for Indicator 1 in FFY 2023, either through annual monitoring or other processes. In FFY 2023, Tennessee Early Intervention System (TEIS) utilized a pre finding correction process for Indicator 7. This practice was discontinued beginning in FFY 2024. TEIS utilizes OSEP’s QA 23 01 guidance to ensure full alignment with federal requirements for identifying and correcting noncompliance through the State’s general supervision system.</w:t>
      </w:r>
    </w:p>
    <w:p w14:paraId="4515C435" w14:textId="77777777" w:rsidR="00277E7F" w:rsidRPr="007D0769" w:rsidRDefault="00277E7F" w:rsidP="00277E7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6F14FCD8" w14:textId="77777777" w:rsidR="00DE79BF" w:rsidRDefault="00277E7F" w:rsidP="00DE79BF">
      <w:pPr>
        <w:rPr>
          <w:rFonts w:eastAsia="Calibri" w:cs="Arial"/>
          <w:szCs w:val="16"/>
        </w:rPr>
      </w:pPr>
      <w:r>
        <w:rPr>
          <w:rFonts w:eastAsia="Calibri" w:cs="Arial"/>
          <w:szCs w:val="16"/>
        </w:rPr>
        <w:t>Identification of Noncompliance</w:t>
      </w:r>
    </w:p>
    <w:p w14:paraId="1334D146" w14:textId="77777777" w:rsidR="007876EE" w:rsidRDefault="007876EE"/>
    <w:p w14:paraId="6C4D25FF" w14:textId="77777777" w:rsidR="007876EE" w:rsidRDefault="00000000">
      <w:r>
        <w:t>As part of TEIS’s annual monitoring activities, the State reviewed data for all initial services due in October 2023. This review, completed on December 5, 2023, included all nine EIS programs. One EIS program was verified as 100% compliant. Six programs did not demonstrate full compliance during the review. In addition, two programs had ongoing Indicator 1 findings of noncompliance issued on April 18, 2022. TEIS does not issue subsequent findings of noncompliance for the same issue if not corrected timely.</w:t>
      </w:r>
      <w:r>
        <w:t xml:space="preserve"> Timely correction of noncompliance is addressed in TN Part C’s EIS Determination process. </w:t>
      </w:r>
    </w:p>
    <w:p w14:paraId="66B790FC" w14:textId="77777777" w:rsidR="007876EE" w:rsidRDefault="007876EE"/>
    <w:p w14:paraId="2B41FC60" w14:textId="77777777" w:rsidR="007876EE" w:rsidRDefault="00000000">
      <w:r>
        <w:t>Correction of Noncompliance</w:t>
      </w:r>
    </w:p>
    <w:p w14:paraId="1D7BA6C6" w14:textId="77777777" w:rsidR="007876EE" w:rsidRDefault="007876EE"/>
    <w:p w14:paraId="2BB9C0BD" w14:textId="77777777" w:rsidR="007876EE" w:rsidRDefault="00000000">
      <w:r>
        <w:t>TEIS conducted monthly data reviews to ensure timely correction at both the child and systemic levels:</w:t>
      </w:r>
    </w:p>
    <w:p w14:paraId="1023DF17" w14:textId="77777777" w:rsidR="007876EE" w:rsidRDefault="007876EE"/>
    <w:p w14:paraId="4B323352" w14:textId="77777777" w:rsidR="007876EE" w:rsidRDefault="00000000">
      <w:r>
        <w:t xml:space="preserve">-October 2023 data were reviewed monthly until each individual instance of child level noncompliance was verified as corrected. For the six programs initially not 100% in compliance to achieve pre-finding correction, all instances of child-level noncompliance in the October 2023 data must be corrected within 90 days from the original data pull in December 2023. </w:t>
      </w:r>
    </w:p>
    <w:p w14:paraId="5FE7B2F2" w14:textId="77777777" w:rsidR="007876EE" w:rsidRDefault="00000000">
      <w:r>
        <w:t>-Data for initial services due in November 2023, December 2023, and January 2024 were reviewed in January, February, and March 2024, respectively, for pre finding correction at both the systemic (correct implementation of the regulatory requirements) and child levels.</w:t>
      </w:r>
    </w:p>
    <w:p w14:paraId="56C8C5CE" w14:textId="77777777" w:rsidR="007876EE" w:rsidRDefault="007876EE"/>
    <w:p w14:paraId="6F594C25" w14:textId="77777777" w:rsidR="007876EE" w:rsidRDefault="00000000">
      <w:r>
        <w:t xml:space="preserve">TEIS verified 100% compliance for each of the EIS six programs not initially 100% compliant but without pre-existing findings of noncompliance. In accordance with TEIS’s pre-finding correction practices effective in FFY 2023 and OSEP’s 23-01 guidance, these six EIS programs were verified as 100% compliant prior to the issuance of findings of noncompliance; therefore, no Indicator 1 findings were issued for these programs. </w:t>
      </w:r>
    </w:p>
    <w:p w14:paraId="4FCB1F40" w14:textId="77777777" w:rsidR="007876EE" w:rsidRDefault="007876EE"/>
    <w:p w14:paraId="3E7AC52C" w14:textId="77777777" w:rsidR="007876EE" w:rsidRDefault="00000000">
      <w:r>
        <w:t>Programs with Pre Existing Findings Issued in FFY 2022</w:t>
      </w:r>
    </w:p>
    <w:p w14:paraId="06EB0A8B" w14:textId="77777777" w:rsidR="007876EE" w:rsidRDefault="007876EE"/>
    <w:p w14:paraId="02003D02" w14:textId="77777777" w:rsidR="007876EE" w:rsidRDefault="00000000">
      <w:r>
        <w:t>The two EIS programs with existing noncompliance findings from April 2022 did not correct timely in FFY 2022 and demonstrated continued noncompliance during FFY 2023 annual monitoring. TEIS provided targeted technical assistance and supported the development and implementation of updated Corrective Action Plans. Monthly monitoring continued until TEIS verified that each program was 100% compliant, having corrected each instance of child-level noncompliance and demonstrated correct implementation of the regu</w:t>
      </w:r>
      <w:r>
        <w:t xml:space="preserve">latory requirements, consistent with OSEP’s 23-01 guidance. </w:t>
      </w:r>
    </w:p>
    <w:p w14:paraId="5E312647" w14:textId="77777777" w:rsidR="007876EE" w:rsidRDefault="007876EE"/>
    <w:p w14:paraId="1E96669C" w14:textId="77777777" w:rsidR="007876EE" w:rsidRDefault="00000000">
      <w:r>
        <w:t>-Program 1 was verified as 100% compliant on June 18, 2024.</w:t>
      </w:r>
    </w:p>
    <w:p w14:paraId="0AEB3FF9" w14:textId="77777777" w:rsidR="007876EE" w:rsidRDefault="00000000">
      <w:r>
        <w:t>-Program 2 was verified as 100% compliant on September 25, 2025.</w:t>
      </w:r>
    </w:p>
    <w:p w14:paraId="7E01EA00" w14:textId="77777777" w:rsidR="006B5AEF" w:rsidRPr="007D0769" w:rsidRDefault="006B5AEF" w:rsidP="006B5AE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A7B0B32" w14:textId="77777777" w:rsidR="006B5AEF" w:rsidRDefault="002E61D5" w:rsidP="00DE79BF">
      <w:pPr>
        <w:rPr>
          <w:rFonts w:eastAsia="Calibri" w:cs="Arial"/>
          <w:szCs w:val="16"/>
        </w:rPr>
      </w:pPr>
      <w:r>
        <w:rPr>
          <w:rFonts w:eastAsia="Calibri" w:cs="Arial"/>
          <w:szCs w:val="16"/>
        </w:rPr>
        <w:t>Identification of Noncompliance</w:t>
      </w:r>
    </w:p>
    <w:p w14:paraId="4D69471E" w14:textId="77777777" w:rsidR="007876EE" w:rsidRDefault="007876EE"/>
    <w:p w14:paraId="5ADA2E73" w14:textId="77777777" w:rsidR="007876EE" w:rsidRDefault="00000000">
      <w:r>
        <w:t>As part of TEIS’s annual monitoring activities, the State reviewed data for all initial services due in October 2023. This review, completed on December 5, 2023, included all nine EIS programs. One EIS program was verified as 100% compliant. Six programs did not demonstrate full compliance during the review. In addition, two programs had ongoing Indicator 1 findings of noncompliance issued on April 18, 2022. TEIS does not issue subsequent findings of noncompliance for the same issue if not corrected timely.</w:t>
      </w:r>
      <w:r>
        <w:t xml:space="preserve"> Timely correction of noncompliance is addressed in TN Part C’s EIS Determination process. </w:t>
      </w:r>
    </w:p>
    <w:p w14:paraId="7F34E8D6" w14:textId="77777777" w:rsidR="007876EE" w:rsidRDefault="007876EE"/>
    <w:p w14:paraId="2BD54BA2" w14:textId="77777777" w:rsidR="007876EE" w:rsidRDefault="00000000">
      <w:r>
        <w:t>Correction of Noncompliance</w:t>
      </w:r>
    </w:p>
    <w:p w14:paraId="30C3634A" w14:textId="77777777" w:rsidR="007876EE" w:rsidRDefault="007876EE"/>
    <w:p w14:paraId="52C4D4C4" w14:textId="77777777" w:rsidR="007876EE" w:rsidRDefault="00000000">
      <w:r>
        <w:t>TEIS conducted monthly data reviews to ensure timely correction at both the child and systemic levels:</w:t>
      </w:r>
    </w:p>
    <w:p w14:paraId="64233699" w14:textId="77777777" w:rsidR="007876EE" w:rsidRDefault="007876EE"/>
    <w:p w14:paraId="35F26BCA" w14:textId="77777777" w:rsidR="007876EE" w:rsidRDefault="00000000">
      <w:r>
        <w:t xml:space="preserve">-October 2023 data were reviewed monthly until each individual instance of child level noncompliance was verified as corrected. For the six programs initially not 100% in compliance to achieve pre-finding correction, all instances of child-level noncompliance in the October 2023 data must be corrected within 90 days from the original data pull in December 2023. </w:t>
      </w:r>
    </w:p>
    <w:p w14:paraId="301E06EA" w14:textId="77777777" w:rsidR="007876EE" w:rsidRDefault="00000000">
      <w:r>
        <w:lastRenderedPageBreak/>
        <w:t>-Data for initial services due in November 2023, December 2023, and January 2024 were reviewed in January, February, and March 2024, respectively, for pre finding correction at both the systemic and child levels.</w:t>
      </w:r>
    </w:p>
    <w:p w14:paraId="0AFC1361" w14:textId="77777777" w:rsidR="007876EE" w:rsidRDefault="007876EE"/>
    <w:p w14:paraId="038037F3" w14:textId="77777777" w:rsidR="007876EE" w:rsidRDefault="00000000">
      <w:r>
        <w:t xml:space="preserve">TEIS verified 100% compliance for each of the EIS six programs not initially 100% compliant but without pre-existing findings of noncompliance. In accordance with TEIS’s pre-finding correction practices effective in FFY 2023 and OSEP’s 23-01 guidance, these six EIS programs were verified as 100% compliant prior to the issuance of findings of noncompliance; therefore, no Indicator 1 findings were issued for these programs. </w:t>
      </w:r>
    </w:p>
    <w:p w14:paraId="68EF123B" w14:textId="77777777" w:rsidR="007876EE" w:rsidRDefault="007876EE"/>
    <w:p w14:paraId="369B610A" w14:textId="77777777" w:rsidR="007876EE" w:rsidRDefault="00000000">
      <w:r>
        <w:t>Programs with Pre Existing Findings Issued in FFY 2022</w:t>
      </w:r>
    </w:p>
    <w:p w14:paraId="01E67CED" w14:textId="77777777" w:rsidR="007876EE" w:rsidRDefault="007876EE"/>
    <w:p w14:paraId="02533DBC" w14:textId="77777777" w:rsidR="007876EE" w:rsidRDefault="00000000">
      <w:r>
        <w:t>The two EIS programs with existing noncompliance findings from April 2022 did not correct timely in FFY 2022 and demonstrated continued noncompliance during FFY 2023 annual monitoring. TEIS provided targeted technical assistance and supported the development and implementation of updated Corrective Action Plans. Monthly monitoring continued until TEIS verified that each program was 100% compliant, having corrected each instance of child-level noncompliance and demonstrated correct implementation of the regu</w:t>
      </w:r>
      <w:r>
        <w:t xml:space="preserve">latory requirements, consistent with OSEP’s 23-01 guidance. </w:t>
      </w:r>
    </w:p>
    <w:p w14:paraId="4E73FA2A" w14:textId="77777777" w:rsidR="007876EE" w:rsidRDefault="007876EE"/>
    <w:p w14:paraId="5250F5D1" w14:textId="77777777" w:rsidR="007876EE" w:rsidRDefault="00000000">
      <w:r>
        <w:t>-Program 1 was verified as 100% compliant on June 18, 2024.</w:t>
      </w:r>
    </w:p>
    <w:p w14:paraId="06F33FF3" w14:textId="77777777" w:rsidR="007876EE" w:rsidRDefault="00000000">
      <w:r>
        <w:t>-Program 2 was verified as 100% compliant on September 25, 2025.</w:t>
      </w:r>
    </w:p>
    <w:p w14:paraId="3CE90BC5" w14:textId="77777777" w:rsidR="00EA0734" w:rsidRDefault="00EA0734" w:rsidP="00AC243A">
      <w:pPr>
        <w:spacing w:after="0"/>
        <w:textAlignment w:val="baseline"/>
        <w:rPr>
          <w:rFonts w:eastAsia="Times New Roman" w:cs="Arial"/>
          <w:b/>
          <w:bCs/>
          <w:szCs w:val="16"/>
        </w:rPr>
      </w:pPr>
    </w:p>
    <w:p w14:paraId="53754AC6" w14:textId="77777777" w:rsidR="00AC243A" w:rsidRPr="007D0769" w:rsidRDefault="00AC243A" w:rsidP="00AC243A">
      <w:pPr>
        <w:spacing w:after="0"/>
        <w:textAlignment w:val="baseline"/>
        <w:rPr>
          <w:rFonts w:eastAsia="Times New Roman" w:cs="Arial"/>
          <w:b/>
          <w:bCs/>
          <w:szCs w:val="16"/>
        </w:rPr>
      </w:pPr>
      <w:r w:rsidRPr="007D0769">
        <w:rPr>
          <w:rFonts w:eastAsia="Times New Roman" w:cs="Arial"/>
          <w:b/>
          <w:bCs/>
          <w:szCs w:val="16"/>
        </w:rPr>
        <w:t>Indicator 7. Percent of eligible infants and toddlers with IFSPs for whom initial evaluation, initial assessment, and the initial IFSP meeting were conducted within Part C’s 45-day timeline. (20 U.S.C. 1416(a)(3)(B) and 1442)</w:t>
      </w:r>
    </w:p>
    <w:p w14:paraId="55C26F56" w14:textId="77777777" w:rsidR="00AC243A" w:rsidRPr="007D0769" w:rsidRDefault="00AC243A" w:rsidP="00AC243A">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7"/>
      </w:tblPr>
      <w:tblGrid>
        <w:gridCol w:w="2158"/>
        <w:gridCol w:w="2158"/>
        <w:gridCol w:w="2158"/>
        <w:gridCol w:w="2158"/>
        <w:gridCol w:w="2158"/>
      </w:tblGrid>
      <w:tr w:rsidR="00684786" w:rsidRPr="007D0769" w14:paraId="62F153D8" w14:textId="77777777" w:rsidTr="00EC51AB">
        <w:trPr>
          <w:trHeight w:val="360"/>
          <w:tblHeader/>
        </w:trPr>
        <w:tc>
          <w:tcPr>
            <w:tcW w:w="2158" w:type="dxa"/>
          </w:tcPr>
          <w:p w14:paraId="1F36152E"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78D73E81" w14:textId="77777777" w:rsidR="00AC243A" w:rsidRPr="007D0769" w:rsidRDefault="00AC243A"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7485CEED"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C6041DF" w14:textId="77777777" w:rsidR="00AC243A" w:rsidRPr="007D0769" w:rsidRDefault="00AC243A"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23CBF7E2" w14:textId="77777777" w:rsidR="00AC243A" w:rsidRPr="007D0769" w:rsidRDefault="00AC243A"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684786" w:rsidRPr="00755D89" w14:paraId="2DA2FB93" w14:textId="77777777" w:rsidTr="00EC51AB">
        <w:trPr>
          <w:trHeight w:val="360"/>
          <w:tblHeader/>
        </w:trPr>
        <w:tc>
          <w:tcPr>
            <w:tcW w:w="2158" w:type="dxa"/>
          </w:tcPr>
          <w:p w14:paraId="5F2A6EE4" w14:textId="77777777" w:rsidR="00AC243A" w:rsidRPr="007D0769" w:rsidRDefault="00AC243A">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79ED1078" w14:textId="77777777" w:rsidR="00AC243A" w:rsidRPr="007D0769" w:rsidRDefault="00AC243A">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169DBE29" w14:textId="77777777" w:rsidR="00AC243A" w:rsidRPr="007D0769" w:rsidRDefault="00AC243A">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3C94FA65" w14:textId="77777777" w:rsidR="00AC243A" w:rsidRPr="007D0769" w:rsidRDefault="00AC243A">
            <w:pPr>
              <w:jc w:val="center"/>
              <w:textAlignment w:val="baseline"/>
              <w:rPr>
                <w:rFonts w:eastAsia="Times New Roman" w:cs="Arial"/>
                <w:b/>
                <w:bCs/>
                <w:szCs w:val="16"/>
              </w:rPr>
            </w:pPr>
            <w:r>
              <w:rPr>
                <w:rFonts w:eastAsia="Times New Roman" w:cs="Arial"/>
                <w:szCs w:val="16"/>
              </w:rPr>
              <w:t>0</w:t>
            </w:r>
          </w:p>
        </w:tc>
        <w:tc>
          <w:tcPr>
            <w:tcW w:w="2158" w:type="dxa"/>
          </w:tcPr>
          <w:p w14:paraId="3A56C3D1" w14:textId="77777777" w:rsidR="00AC243A" w:rsidRPr="00755D89" w:rsidRDefault="00AC243A">
            <w:pPr>
              <w:jc w:val="center"/>
              <w:textAlignment w:val="baseline"/>
              <w:rPr>
                <w:rFonts w:eastAsia="Times New Roman" w:cs="Arial"/>
                <w:szCs w:val="16"/>
              </w:rPr>
            </w:pPr>
            <w:r w:rsidRPr="00755D89">
              <w:rPr>
                <w:rFonts w:eastAsia="Times New Roman" w:cs="Arial"/>
                <w:szCs w:val="16"/>
              </w:rPr>
              <w:t>0</w:t>
            </w:r>
          </w:p>
        </w:tc>
      </w:tr>
    </w:tbl>
    <w:p w14:paraId="6099F74A" w14:textId="77777777" w:rsidR="00AC243A" w:rsidRPr="00755D89" w:rsidRDefault="00AC243A" w:rsidP="00AC243A">
      <w:pPr>
        <w:rPr>
          <w:rFonts w:eastAsia="Calibri" w:cs="Arial"/>
          <w:b/>
          <w:szCs w:val="16"/>
        </w:rPr>
      </w:pPr>
    </w:p>
    <w:p w14:paraId="0DB0B744" w14:textId="77777777" w:rsidR="00E51A59" w:rsidRDefault="00E51A59" w:rsidP="00E51A59">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4F7355F6" w14:textId="77777777" w:rsidR="00A51008" w:rsidRPr="00F7607B" w:rsidRDefault="00A51008" w:rsidP="00E51A59">
      <w:pPr>
        <w:keepNext/>
        <w:spacing w:after="0"/>
        <w:rPr>
          <w:rFonts w:eastAsia="Times New Roman" w:cs="Arial"/>
          <w:bCs/>
          <w:szCs w:val="16"/>
        </w:rPr>
      </w:pPr>
      <w:r>
        <w:rPr>
          <w:rFonts w:eastAsia="Times New Roman" w:cs="Arial"/>
          <w:bCs/>
          <w:szCs w:val="16"/>
        </w:rPr>
        <w:t xml:space="preserve">No findings were issued for Indicator 7 in FFY 2023, either through annual monitoring or other processes. In FFY 2023, TEIS implemented pre-finding correction procedures for compliance. This approach was discontinued beginning in FFY 2024. TEIS utilizes OSEP’s QA 23 01 guidance to ensure full alignment with federal requirements for identifying and correcting noncompliance through the State’s general supervision system. </w:t>
      </w:r>
    </w:p>
    <w:p w14:paraId="16B5A94B" w14:textId="77777777" w:rsidR="00AC243A" w:rsidRPr="007D0769" w:rsidRDefault="00AC243A" w:rsidP="00AC243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22C5D70" w14:textId="77777777" w:rsidR="00AC243A" w:rsidRDefault="00AC243A" w:rsidP="00AC243A">
      <w:pPr>
        <w:rPr>
          <w:rFonts w:eastAsia="Calibri" w:cs="Arial"/>
          <w:szCs w:val="16"/>
        </w:rPr>
      </w:pPr>
      <w:r>
        <w:rPr>
          <w:rFonts w:eastAsia="Calibri" w:cs="Arial"/>
          <w:szCs w:val="16"/>
        </w:rPr>
        <w:t>Identification of Noncompliance</w:t>
      </w:r>
    </w:p>
    <w:p w14:paraId="0B097E90" w14:textId="77777777" w:rsidR="007876EE" w:rsidRDefault="007876EE"/>
    <w:p w14:paraId="06490ADF" w14:textId="77777777" w:rsidR="007876EE" w:rsidRDefault="00000000">
      <w:r>
        <w:t>As part of TEIS’s annual monitoring activities for FFY 2023, the State reviewed data for all initial IFSPs due in October 2023. This review, completed on December 5, 2023, included all nine Early Intervention Service (EIS) programs. Three EIS programs were verified as 100% compliant at the time of review. For the remaining six programs, TEIS identified instances of child level and/or systemic noncompliance in accordance with State procedures.</w:t>
      </w:r>
    </w:p>
    <w:p w14:paraId="3B32B519" w14:textId="77777777" w:rsidR="007876EE" w:rsidRDefault="007876EE"/>
    <w:p w14:paraId="235A60BE" w14:textId="77777777" w:rsidR="007876EE" w:rsidRDefault="00000000">
      <w:r>
        <w:t>Correction of Noncompliance</w:t>
      </w:r>
    </w:p>
    <w:p w14:paraId="5D3E18A3" w14:textId="77777777" w:rsidR="007876EE" w:rsidRDefault="007876EE"/>
    <w:p w14:paraId="32440739" w14:textId="77777777" w:rsidR="007876EE" w:rsidRDefault="00000000">
      <w:r>
        <w:t>TEIS implemented a structured monthly data review process to ensure timely correction.</w:t>
      </w:r>
    </w:p>
    <w:p w14:paraId="76D5DFA9" w14:textId="77777777" w:rsidR="007876EE" w:rsidRDefault="00000000">
      <w:r>
        <w:t xml:space="preserve">-The October 2023 initial IFSP data were reviewed again in December 2023 and January 2024 until each individual case of child level noncompliance identified in the original data pull was verified as corrected. </w:t>
      </w:r>
    </w:p>
    <w:p w14:paraId="05F23AF4" w14:textId="77777777" w:rsidR="007876EE" w:rsidRDefault="00000000">
      <w:r>
        <w:t xml:space="preserve">-Data for all initial IFSPs due in November 2023 were reviewed in January 2024 for the programs not initially found to be 100% in compliance in October to verify that there were no additional instances of child-level or system delays. </w:t>
      </w:r>
    </w:p>
    <w:p w14:paraId="38CC4D20" w14:textId="77777777" w:rsidR="007876EE" w:rsidRDefault="007876EE"/>
    <w:p w14:paraId="10B79E18" w14:textId="77777777" w:rsidR="007876EE" w:rsidRDefault="00000000">
      <w:r>
        <w:t>Through this process, TEIS verified that each EIS program was 100% compliant at the system and child-levels. For child level compliance, TEIS verified that each affected child received the required meeting or was no longer under the jurisdiction of TEIS. For systemic compliance, TEIS confirmed that the EIS program demonstrated the ability to correctly implement the regulatory requirements moving forward, consistent with OSEP’s requirements.</w:t>
      </w:r>
    </w:p>
    <w:p w14:paraId="6F38AD8C" w14:textId="77777777" w:rsidR="007876EE" w:rsidRDefault="007876EE"/>
    <w:p w14:paraId="6C66C1DA" w14:textId="77777777" w:rsidR="007876EE" w:rsidRDefault="00000000">
      <w:r>
        <w:t>Verification of Full Compliance Prior to the Issuance of Findings</w:t>
      </w:r>
    </w:p>
    <w:p w14:paraId="3D27BAE9" w14:textId="77777777" w:rsidR="007876EE" w:rsidRDefault="007876EE"/>
    <w:p w14:paraId="383A5A15" w14:textId="77777777" w:rsidR="007876EE" w:rsidRDefault="00000000">
      <w:r>
        <w:t>TEIS verified 100% compliance for each of the EIS six programs not initially 100%. In accordance with TEIS’s pre-finding correction practices effective in FFY 2023 and OSEP’s 23-01 guidance, these six EIS programs were verified as 100% compliant prior to the issuance of findings of noncompliance; therefore, no Indicator 7 findings were issued for these programs.</w:t>
      </w:r>
    </w:p>
    <w:p w14:paraId="319E9E83" w14:textId="77777777" w:rsidR="00AC243A" w:rsidRPr="007D0769" w:rsidRDefault="00AC243A" w:rsidP="00AC243A">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D33DAFD" w14:textId="77777777" w:rsidR="00AC243A" w:rsidRDefault="00AC243A" w:rsidP="00AC243A">
      <w:pPr>
        <w:rPr>
          <w:rFonts w:eastAsia="Calibri" w:cs="Arial"/>
          <w:szCs w:val="16"/>
        </w:rPr>
      </w:pPr>
      <w:r>
        <w:rPr>
          <w:rFonts w:eastAsia="Calibri" w:cs="Arial"/>
          <w:szCs w:val="16"/>
        </w:rPr>
        <w:t>Identification of Noncompliance</w:t>
      </w:r>
    </w:p>
    <w:p w14:paraId="3964D5C1" w14:textId="77777777" w:rsidR="007876EE" w:rsidRDefault="007876EE"/>
    <w:p w14:paraId="6C692FA4" w14:textId="77777777" w:rsidR="007876EE" w:rsidRDefault="00000000">
      <w:r>
        <w:lastRenderedPageBreak/>
        <w:t>As part of TEIS’s annual monitoring activities for FFY 2023, the State reviewed data for all initial IFSPs due in October 2023. This review, completed on December 5, 2023, included all nine Early Intervention Service (EIS) programs. Three EIS programs were verified as 100% compliant at the time of review. For the remaining six programs, TEIS identified instances of child level and/or systemic noncompliance in accordance with State procedures.</w:t>
      </w:r>
    </w:p>
    <w:p w14:paraId="1A55A150" w14:textId="77777777" w:rsidR="007876EE" w:rsidRDefault="007876EE"/>
    <w:p w14:paraId="621A41EB" w14:textId="77777777" w:rsidR="007876EE" w:rsidRDefault="00000000">
      <w:r>
        <w:t>Correction of Noncompliance</w:t>
      </w:r>
    </w:p>
    <w:p w14:paraId="245FB5A1" w14:textId="77777777" w:rsidR="007876EE" w:rsidRDefault="007876EE"/>
    <w:p w14:paraId="06C7B27D" w14:textId="77777777" w:rsidR="007876EE" w:rsidRDefault="00000000">
      <w:r>
        <w:t>TEIS implemented a structured monthly data review process to ensure timely correction.</w:t>
      </w:r>
    </w:p>
    <w:p w14:paraId="36172673" w14:textId="77777777" w:rsidR="007876EE" w:rsidRDefault="00000000">
      <w:r>
        <w:t xml:space="preserve">-The October 2023 initial IFSP data were reviewed again in December 2023 and January 2024 until each individual case of child level noncompliance identified in the original data pull was verified as corrected. </w:t>
      </w:r>
    </w:p>
    <w:p w14:paraId="312AD6BB" w14:textId="77777777" w:rsidR="007876EE" w:rsidRDefault="00000000">
      <w:r>
        <w:t xml:space="preserve">-Data for all initial IFSPs due in November 2023 were reviewed in January 2024 for the programs not initially found to be 100% in compliance in October to verify that there were no additional instances of child-level or system delays. </w:t>
      </w:r>
    </w:p>
    <w:p w14:paraId="537C8C50" w14:textId="77777777" w:rsidR="007876EE" w:rsidRDefault="007876EE"/>
    <w:p w14:paraId="6C1FC4BB" w14:textId="77777777" w:rsidR="007876EE" w:rsidRDefault="00000000">
      <w:r>
        <w:t>Through this process, TEIS verified that each EIS program was 100% compliant at the system and child-levels. For child level compliance, TEIS verified that each affected child received the required meeting or was no longer under the jurisdiction of TEIS. For systemic compliance, TEIS confirmed that the EIS program demonstrated the ability to correctly implement the regulatory requirements moving forward, consistent with OSEP’s requirements.</w:t>
      </w:r>
    </w:p>
    <w:p w14:paraId="19CB3AD0" w14:textId="77777777" w:rsidR="007876EE" w:rsidRDefault="007876EE"/>
    <w:p w14:paraId="249C013A" w14:textId="77777777" w:rsidR="007876EE" w:rsidRDefault="00000000">
      <w:r>
        <w:t>Verification of Full Compliance Prior to the Issuance of Findings</w:t>
      </w:r>
    </w:p>
    <w:p w14:paraId="0FE7C260" w14:textId="77777777" w:rsidR="007876EE" w:rsidRDefault="007876EE"/>
    <w:p w14:paraId="4918881C" w14:textId="77777777" w:rsidR="007876EE" w:rsidRDefault="00000000">
      <w:r>
        <w:t>TEIS verified 100% compliance for each of the EIS six programs not initially 100%. In accordance with TEIS’s pre-finding correction practices effective in FFY 2023 and OSEP’s 23-01 guidance, these six EIS programs were verified as 100% compliant prior to the issuance of findings of noncompliance; therefore, no Indicator 7 findings were issued for these programs.</w:t>
      </w:r>
    </w:p>
    <w:p w14:paraId="4D2A6C98" w14:textId="77777777" w:rsidR="008D36D9" w:rsidRDefault="008D36D9" w:rsidP="005B5A95">
      <w:pPr>
        <w:spacing w:after="0"/>
        <w:textAlignment w:val="baseline"/>
        <w:rPr>
          <w:rFonts w:eastAsia="Times New Roman" w:cs="Arial"/>
          <w:b/>
          <w:bCs/>
          <w:szCs w:val="16"/>
        </w:rPr>
      </w:pPr>
    </w:p>
    <w:p w14:paraId="6F94D590"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Indicator 8A. The percentage of toddlers with disabilities exiting Part C with timely transition planning for whom the Lead Agency has:</w:t>
      </w:r>
    </w:p>
    <w:p w14:paraId="3BD1E70E"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A. Developed an IFSP with transition steps and services at least 90 days (and, at the discretion of all parties, not more than nine months) prior to the toddler’s third birthday. (20 U.S.C. 1416(a)(3)(B) and 1442).</w:t>
      </w:r>
    </w:p>
    <w:p w14:paraId="7E99D3BB" w14:textId="77777777" w:rsidR="005B5A95" w:rsidRPr="007D0769" w:rsidRDefault="005B5A95" w:rsidP="005B5A95">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A"/>
      </w:tblPr>
      <w:tblGrid>
        <w:gridCol w:w="2158"/>
        <w:gridCol w:w="2158"/>
        <w:gridCol w:w="2158"/>
        <w:gridCol w:w="2158"/>
        <w:gridCol w:w="2158"/>
      </w:tblGrid>
      <w:tr w:rsidR="005B5A95" w:rsidRPr="007D0769" w14:paraId="51199837" w14:textId="77777777" w:rsidTr="00EC51AB">
        <w:trPr>
          <w:trHeight w:val="360"/>
          <w:tblHeader/>
        </w:trPr>
        <w:tc>
          <w:tcPr>
            <w:tcW w:w="2158" w:type="dxa"/>
          </w:tcPr>
          <w:p w14:paraId="6E5CB05B"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74E683F9" w14:textId="77777777" w:rsidR="005B5A95" w:rsidRPr="007D0769" w:rsidRDefault="005B5A95"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4A61DD78"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277A21BB" w14:textId="77777777" w:rsidR="005B5A95" w:rsidRPr="007D0769" w:rsidRDefault="005B5A95"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36CD44F" w14:textId="77777777" w:rsidR="005B5A95" w:rsidRPr="007D0769" w:rsidRDefault="005B5A95"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5B5A95" w:rsidRPr="00755D89" w14:paraId="01140F57" w14:textId="77777777" w:rsidTr="00EC51AB">
        <w:trPr>
          <w:trHeight w:val="360"/>
          <w:tblHeader/>
        </w:trPr>
        <w:tc>
          <w:tcPr>
            <w:tcW w:w="2158" w:type="dxa"/>
          </w:tcPr>
          <w:p w14:paraId="5DF154B0" w14:textId="77777777" w:rsidR="005B5A95" w:rsidRPr="007D0769" w:rsidRDefault="005B5A95">
            <w:pPr>
              <w:jc w:val="center"/>
              <w:textAlignment w:val="baseline"/>
              <w:rPr>
                <w:rFonts w:eastAsia="Times New Roman" w:cs="Arial"/>
                <w:b/>
                <w:bCs/>
                <w:szCs w:val="16"/>
              </w:rPr>
            </w:pPr>
          </w:p>
        </w:tc>
        <w:tc>
          <w:tcPr>
            <w:tcW w:w="2158" w:type="dxa"/>
          </w:tcPr>
          <w:p w14:paraId="0E4AD48F" w14:textId="77777777" w:rsidR="005B5A95" w:rsidRPr="007D0769" w:rsidRDefault="005B5A95">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67C925A6" w14:textId="77777777" w:rsidR="005B5A95" w:rsidRPr="007D0769" w:rsidRDefault="005B5A95">
            <w:pPr>
              <w:jc w:val="center"/>
              <w:textAlignment w:val="baseline"/>
              <w:rPr>
                <w:rFonts w:eastAsia="Times New Roman" w:cs="Arial"/>
                <w:b/>
                <w:bCs/>
                <w:szCs w:val="16"/>
              </w:rPr>
            </w:pPr>
          </w:p>
        </w:tc>
        <w:tc>
          <w:tcPr>
            <w:tcW w:w="2158" w:type="dxa"/>
          </w:tcPr>
          <w:p w14:paraId="2AB637E2" w14:textId="77777777" w:rsidR="005B5A95" w:rsidRPr="007D0769" w:rsidRDefault="005B5A95">
            <w:pPr>
              <w:jc w:val="center"/>
              <w:textAlignment w:val="baseline"/>
              <w:rPr>
                <w:rFonts w:eastAsia="Times New Roman" w:cs="Arial"/>
                <w:b/>
                <w:bCs/>
                <w:szCs w:val="16"/>
              </w:rPr>
            </w:pPr>
            <w:r>
              <w:rPr>
                <w:rFonts w:eastAsia="Times New Roman" w:cs="Arial"/>
                <w:szCs w:val="16"/>
              </w:rPr>
              <w:t>0</w:t>
            </w:r>
          </w:p>
        </w:tc>
        <w:tc>
          <w:tcPr>
            <w:tcW w:w="2158" w:type="dxa"/>
          </w:tcPr>
          <w:p w14:paraId="2B8AA621" w14:textId="77777777" w:rsidR="005B5A95" w:rsidRPr="00755D89" w:rsidRDefault="005B5A95">
            <w:pPr>
              <w:jc w:val="center"/>
              <w:textAlignment w:val="baseline"/>
              <w:rPr>
                <w:rFonts w:eastAsia="Times New Roman" w:cs="Arial"/>
                <w:szCs w:val="16"/>
              </w:rPr>
            </w:pPr>
            <w:r w:rsidRPr="00755D89">
              <w:rPr>
                <w:rFonts w:eastAsia="Times New Roman" w:cs="Arial"/>
                <w:szCs w:val="16"/>
              </w:rPr>
              <w:t>0</w:t>
            </w:r>
          </w:p>
        </w:tc>
      </w:tr>
    </w:tbl>
    <w:p w14:paraId="799D3DCA" w14:textId="77777777" w:rsidR="005B5A95" w:rsidRPr="00755D89" w:rsidRDefault="005B5A95" w:rsidP="005B5A95">
      <w:pPr>
        <w:rPr>
          <w:rFonts w:eastAsia="Calibri" w:cs="Arial"/>
          <w:b/>
          <w:szCs w:val="16"/>
        </w:rPr>
      </w:pPr>
    </w:p>
    <w:p w14:paraId="20586FA3" w14:textId="77777777" w:rsidR="00435E16" w:rsidRDefault="004650EA" w:rsidP="004650EA">
      <w:pPr>
        <w:keepNext/>
        <w:spacing w:after="0"/>
        <w:rPr>
          <w:rFonts w:eastAsia="Times New Roman" w:cs="Arial"/>
          <w:b/>
          <w:szCs w:val="16"/>
        </w:rPr>
      </w:pPr>
      <w:r w:rsidRPr="00757561">
        <w:rPr>
          <w:rFonts w:eastAsia="Times New Roman" w:cs="Arial"/>
          <w:b/>
          <w:szCs w:val="16"/>
        </w:rPr>
        <w:t xml:space="preserve">Please explain the source (e.g., State monitoring, State database/data system, dispute resolution, fiscal, related requirements, etc.) of any additional findings reported in Column B. </w:t>
      </w:r>
    </w:p>
    <w:p w14:paraId="7BBF8BF7" w14:textId="77777777" w:rsidR="004650EA" w:rsidRPr="00FF3A04" w:rsidRDefault="004650EA" w:rsidP="004650EA">
      <w:pPr>
        <w:keepNext/>
        <w:spacing w:after="0"/>
        <w:rPr>
          <w:rFonts w:eastAsia="Times New Roman" w:cs="Arial"/>
          <w:bCs/>
          <w:szCs w:val="16"/>
        </w:rPr>
      </w:pPr>
      <w:r>
        <w:rPr>
          <w:rFonts w:eastAsia="Times New Roman" w:cs="Arial"/>
          <w:bCs/>
          <w:szCs w:val="16"/>
        </w:rPr>
        <w:t xml:space="preserve">No findings were issued for Indicator 8A in FFY 2023, either through annual monitoring or other processes. TEIS utilizes </w:t>
      </w:r>
      <w:proofErr w:type="gramStart"/>
      <w:r>
        <w:rPr>
          <w:rFonts w:eastAsia="Times New Roman" w:cs="Arial"/>
          <w:bCs/>
          <w:szCs w:val="16"/>
        </w:rPr>
        <w:t>a data</w:t>
      </w:r>
      <w:proofErr w:type="gramEnd"/>
      <w:r>
        <w:rPr>
          <w:rFonts w:eastAsia="Times New Roman" w:cs="Arial"/>
          <w:bCs/>
          <w:szCs w:val="16"/>
        </w:rPr>
        <w:t xml:space="preserve"> system validation and enhancements to the IFSP document to ensure compliance with this indicator. </w:t>
      </w:r>
    </w:p>
    <w:p w14:paraId="7E697511" w14:textId="77777777" w:rsidR="005B5A95" w:rsidRPr="007D0769" w:rsidRDefault="005B5A95" w:rsidP="005B5A95">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2EBD1493" w14:textId="77777777" w:rsidR="005B5A95" w:rsidRDefault="005B5A95" w:rsidP="005B5A95">
      <w:pPr>
        <w:rPr>
          <w:rFonts w:eastAsia="Calibri" w:cs="Arial"/>
          <w:szCs w:val="16"/>
        </w:rPr>
      </w:pPr>
      <w:r>
        <w:rPr>
          <w:rFonts w:eastAsia="Calibri" w:cs="Arial"/>
          <w:szCs w:val="16"/>
        </w:rPr>
        <w:t>Not applicable</w:t>
      </w:r>
    </w:p>
    <w:p w14:paraId="26CB0792" w14:textId="77777777" w:rsidR="005B5A95" w:rsidRPr="007D0769" w:rsidRDefault="005B5A95" w:rsidP="005B5A95">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55EE4068" w14:textId="77777777" w:rsidR="005B5A95" w:rsidRDefault="005B5A95" w:rsidP="005B5A95">
      <w:pPr>
        <w:rPr>
          <w:rFonts w:eastAsia="Calibri" w:cs="Arial"/>
          <w:szCs w:val="16"/>
        </w:rPr>
      </w:pPr>
      <w:r>
        <w:rPr>
          <w:rFonts w:eastAsia="Calibri" w:cs="Arial"/>
          <w:szCs w:val="16"/>
        </w:rPr>
        <w:t>Not applicable</w:t>
      </w:r>
    </w:p>
    <w:p w14:paraId="3029C3DA" w14:textId="77777777" w:rsidR="008D36D9" w:rsidRDefault="008D36D9" w:rsidP="00DE12DF">
      <w:pPr>
        <w:spacing w:after="0"/>
        <w:textAlignment w:val="baseline"/>
        <w:rPr>
          <w:rFonts w:eastAsia="Times New Roman" w:cs="Arial"/>
          <w:b/>
          <w:bCs/>
          <w:szCs w:val="16"/>
        </w:rPr>
      </w:pPr>
    </w:p>
    <w:p w14:paraId="4D4B5584" w14:textId="7777777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8B. The percentage of toddlers with disabilities exiting Part C with timely transition planning for whom the Lead Agency has:</w:t>
      </w:r>
    </w:p>
    <w:p w14:paraId="5E1C8231" w14:textId="77777777" w:rsidR="00DE12DF" w:rsidRDefault="00DE12DF" w:rsidP="00DE12DF">
      <w:pPr>
        <w:spacing w:after="0"/>
        <w:textAlignment w:val="baseline"/>
        <w:rPr>
          <w:rFonts w:eastAsia="Times New Roman" w:cs="Arial"/>
          <w:b/>
          <w:bCs/>
          <w:szCs w:val="16"/>
        </w:rPr>
      </w:pPr>
      <w:r w:rsidRPr="007D0769">
        <w:rPr>
          <w:rFonts w:eastAsia="Times New Roman" w:cs="Arial"/>
          <w:b/>
          <w:bCs/>
          <w:szCs w:val="16"/>
        </w:rPr>
        <w:t>B.  Notified (consistent with any opt-out policy) the SEA and LEA where the toddler resides at least 90 days prior to the toddler’s third birthday for toddlers potentially eligible for Part B preschool services. (20 U.S.C. 1416(a)(3)(B) and 1442)</w:t>
      </w:r>
    </w:p>
    <w:p w14:paraId="06BB7875"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B"/>
      </w:tblPr>
      <w:tblGrid>
        <w:gridCol w:w="2158"/>
        <w:gridCol w:w="2158"/>
        <w:gridCol w:w="2158"/>
        <w:gridCol w:w="2158"/>
        <w:gridCol w:w="2158"/>
      </w:tblGrid>
      <w:tr w:rsidR="00DE12DF" w:rsidRPr="007D0769" w14:paraId="6EA6334F" w14:textId="77777777" w:rsidTr="00EC51AB">
        <w:trPr>
          <w:trHeight w:val="360"/>
          <w:tblHeader/>
        </w:trPr>
        <w:tc>
          <w:tcPr>
            <w:tcW w:w="2158" w:type="dxa"/>
          </w:tcPr>
          <w:p w14:paraId="6108CE22"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29D8DFF2" w14:textId="77777777"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0014087B"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B9607B0"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5B1BCD5" w14:textId="77777777" w:rsidR="00DE12DF" w:rsidRPr="007D0769" w:rsidRDefault="00DE12DF"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DE12DF" w:rsidRPr="00755D89" w14:paraId="45EEE4A4" w14:textId="77777777" w:rsidTr="00EC51AB">
        <w:trPr>
          <w:trHeight w:val="360"/>
          <w:tblHeader/>
        </w:trPr>
        <w:tc>
          <w:tcPr>
            <w:tcW w:w="2158" w:type="dxa"/>
          </w:tcPr>
          <w:p w14:paraId="790B482B"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40DC9E2B" w14:textId="77777777"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6AACBDE5"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7FFDF811" w14:textId="77777777"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4D22AA5F" w14:textId="7777777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78C63128" w14:textId="77777777" w:rsidR="00641B02" w:rsidRDefault="00641B02" w:rsidP="004650EA">
      <w:pPr>
        <w:keepNext/>
        <w:spacing w:after="0"/>
        <w:rPr>
          <w:rFonts w:eastAsia="Times New Roman" w:cs="Arial"/>
          <w:b/>
          <w:szCs w:val="16"/>
        </w:rPr>
      </w:pPr>
    </w:p>
    <w:p w14:paraId="6658B39B" w14:textId="77777777"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73EF26AF" w14:textId="77777777" w:rsidR="006675B4" w:rsidRDefault="004650EA">
      <w:pPr>
        <w:keepNext/>
        <w:spacing w:after="0"/>
        <w:rPr>
          <w:rFonts w:eastAsia="Times New Roman" w:cs="Arial"/>
          <w:bCs/>
          <w:szCs w:val="16"/>
        </w:rPr>
      </w:pPr>
      <w:r>
        <w:rPr>
          <w:rFonts w:eastAsia="Times New Roman" w:cs="Arial"/>
          <w:bCs/>
          <w:szCs w:val="16"/>
        </w:rPr>
        <w:t xml:space="preserve">No findings were issued for Indicator 8B in FFY 2023, either through annual monitoring or other processes. In FFY 2023, TEIS implemented pre-finding correction procedures for compliance. This approach was discontinued beginning in FFY 2024. TEIS utilizes OSEP’s QA 23 01 guidance to ensure full alignment with federal requirements for identifying and correcting noncompliance through the State’s general supervision system. </w:t>
      </w:r>
    </w:p>
    <w:p w14:paraId="38ABFE90" w14:textId="77777777" w:rsidR="00DE12DF" w:rsidRPr="007D0769" w:rsidRDefault="00DE12DF" w:rsidP="004650E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39519EDF" w14:textId="77777777" w:rsidR="00DE12DF" w:rsidRDefault="00DE12DF" w:rsidP="00DE12DF">
      <w:pPr>
        <w:rPr>
          <w:rFonts w:eastAsia="Calibri" w:cs="Arial"/>
          <w:szCs w:val="16"/>
        </w:rPr>
      </w:pPr>
      <w:r>
        <w:rPr>
          <w:rFonts w:eastAsia="Calibri" w:cs="Arial"/>
          <w:szCs w:val="16"/>
        </w:rPr>
        <w:t>Identification of Noncompliance</w:t>
      </w:r>
    </w:p>
    <w:p w14:paraId="0B48B292" w14:textId="77777777" w:rsidR="007876EE" w:rsidRDefault="007876EE"/>
    <w:p w14:paraId="7EF7518B" w14:textId="77777777" w:rsidR="007876EE" w:rsidRDefault="00000000">
      <w:r>
        <w:t xml:space="preserve">As part of TEIS’s annual monitoring activities, the State reviewed full census data for all potentially eligible children exiting Part C between </w:t>
      </w:r>
      <w:proofErr w:type="gramStart"/>
      <w:r>
        <w:t>July?1,?</w:t>
      </w:r>
      <w:proofErr w:type="gramEnd"/>
      <w:r>
        <w:t xml:space="preserve">2023, and </w:t>
      </w:r>
      <w:proofErr w:type="gramStart"/>
      <w:r>
        <w:t>June?30,?</w:t>
      </w:r>
      <w:proofErr w:type="gramEnd"/>
      <w:r>
        <w:t>2024. During this review, TEIS identified two children—served by two different EIS programs—with untimely SEA/LEA notifications. In both cases, the delays were attributable to Service Coordinator data entry errors. TEIS verified that each instance was corrected at the child level in accordance with federal requirements.</w:t>
      </w:r>
    </w:p>
    <w:p w14:paraId="71003EC6" w14:textId="77777777" w:rsidR="007876EE" w:rsidRDefault="007876EE"/>
    <w:p w14:paraId="317526BE" w14:textId="77777777" w:rsidR="007876EE" w:rsidRDefault="00000000">
      <w:r>
        <w:t>Correction of Noncompliance</w:t>
      </w:r>
    </w:p>
    <w:p w14:paraId="765C27C1" w14:textId="77777777" w:rsidR="007876EE" w:rsidRDefault="007876EE"/>
    <w:p w14:paraId="486E040F" w14:textId="77777777" w:rsidR="007876EE" w:rsidRDefault="00000000">
      <w:r>
        <w:t>TEIS conducted a subsequent monthly data review to verify that the two EIS programs demonstrated compliance at both the systemic and child levels. Monthly data for July?2024 were reviewed, and TEIS confirmed that both EIS programs were 100% compliant. There were no untimely LEA/SEA notifications. TEIS verified that the programs were correctly implementing the notification requirement and were fully compliant moving forward.</w:t>
      </w:r>
    </w:p>
    <w:p w14:paraId="3F9E917C" w14:textId="77777777" w:rsidR="007876EE" w:rsidRDefault="007876EE"/>
    <w:p w14:paraId="41401A50" w14:textId="77777777" w:rsidR="007876EE" w:rsidRDefault="00000000">
      <w:r>
        <w:t>Verification of Full Compliance</w:t>
      </w:r>
    </w:p>
    <w:p w14:paraId="533E47DA" w14:textId="77777777" w:rsidR="007876EE" w:rsidRDefault="007876EE"/>
    <w:p w14:paraId="17575967" w14:textId="77777777" w:rsidR="007876EE" w:rsidRDefault="00000000">
      <w:r>
        <w:t xml:space="preserve">TEIS verified 100% compliance for both of the </w:t>
      </w:r>
      <w:proofErr w:type="gramStart"/>
      <w:r>
        <w:t>EIS</w:t>
      </w:r>
      <w:proofErr w:type="gramEnd"/>
      <w:r>
        <w:t xml:space="preserve"> </w:t>
      </w:r>
      <w:proofErr w:type="gramStart"/>
      <w:r>
        <w:t>programs</w:t>
      </w:r>
      <w:proofErr w:type="gramEnd"/>
      <w:r>
        <w:t xml:space="preserve"> not initially 100% compliant. In accordance with TEIS’s pre-finding correction practices effective in FFY 2023 and OSEP’s 23-01 guidance, these EIS programs were verified as 100% compliant prior to the issuance of findings of noncompliance; therefore, no Indicator 8B findings were issued for these programs.</w:t>
      </w:r>
    </w:p>
    <w:p w14:paraId="0D0D8AC7"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5B91BD46" w14:textId="77777777" w:rsidR="00DE12DF" w:rsidRDefault="00DE12DF" w:rsidP="00DE12DF">
      <w:pPr>
        <w:rPr>
          <w:rFonts w:eastAsia="Calibri" w:cs="Arial"/>
          <w:szCs w:val="16"/>
        </w:rPr>
      </w:pPr>
      <w:r>
        <w:rPr>
          <w:rFonts w:eastAsia="Calibri" w:cs="Arial"/>
          <w:szCs w:val="16"/>
        </w:rPr>
        <w:t>Identification of Noncompliance</w:t>
      </w:r>
    </w:p>
    <w:p w14:paraId="0116FD20" w14:textId="77777777" w:rsidR="007876EE" w:rsidRDefault="007876EE"/>
    <w:p w14:paraId="69F96E2B" w14:textId="77777777" w:rsidR="007876EE" w:rsidRDefault="00000000">
      <w:r>
        <w:t xml:space="preserve">As part of TEIS’s annual monitoring activities, the State reviewed full census data for all potentially eligible children exiting Part C between </w:t>
      </w:r>
      <w:proofErr w:type="gramStart"/>
      <w:r>
        <w:t>July?1,?</w:t>
      </w:r>
      <w:proofErr w:type="gramEnd"/>
      <w:r>
        <w:t xml:space="preserve">2023, and </w:t>
      </w:r>
      <w:proofErr w:type="gramStart"/>
      <w:r>
        <w:t>June?30,?</w:t>
      </w:r>
      <w:proofErr w:type="gramEnd"/>
      <w:r>
        <w:t>2024. During this review, TEIS identified two children—served by two different EIS programs—with untimely SEA/LEA notifications. In both cases, the delays were attributable to Service Coordinator data entry errors. TEIS verified that each instance was corrected at the child level in accordance with federal requirements.</w:t>
      </w:r>
    </w:p>
    <w:p w14:paraId="210454A5" w14:textId="77777777" w:rsidR="007876EE" w:rsidRDefault="007876EE"/>
    <w:p w14:paraId="3E3007E5" w14:textId="77777777" w:rsidR="007876EE" w:rsidRDefault="00000000">
      <w:r>
        <w:t>Correction of Noncompliance</w:t>
      </w:r>
    </w:p>
    <w:p w14:paraId="53ABC0BF" w14:textId="77777777" w:rsidR="007876EE" w:rsidRDefault="007876EE"/>
    <w:p w14:paraId="7F0E3015" w14:textId="77777777" w:rsidR="007876EE" w:rsidRDefault="00000000">
      <w:r>
        <w:t>TEIS conducted a subsequent monthly data review to verify that the two EIS programs demonstrated compliance at both the systemic and child levels. Monthly data for July?2024 were reviewed, and TEIS confirmed that both EIS programs were 100% compliant. There were no untimely LEA/SEA notifications. TEIS verified that the programs were correctly implementing the notification requirement and were fully compliant moving forward.</w:t>
      </w:r>
    </w:p>
    <w:p w14:paraId="5E578785" w14:textId="77777777" w:rsidR="007876EE" w:rsidRDefault="007876EE"/>
    <w:p w14:paraId="5EF6D6C0" w14:textId="77777777" w:rsidR="007876EE" w:rsidRDefault="00000000">
      <w:r>
        <w:t>Verification of Full Compliance</w:t>
      </w:r>
    </w:p>
    <w:p w14:paraId="3E9970FF" w14:textId="77777777" w:rsidR="007876EE" w:rsidRDefault="007876EE"/>
    <w:p w14:paraId="1F90BA09" w14:textId="77777777" w:rsidR="007876EE" w:rsidRDefault="00000000">
      <w:r>
        <w:t xml:space="preserve">TEIS verified 100% compliance for both of the </w:t>
      </w:r>
      <w:proofErr w:type="gramStart"/>
      <w:r>
        <w:t>EIS</w:t>
      </w:r>
      <w:proofErr w:type="gramEnd"/>
      <w:r>
        <w:t xml:space="preserve"> </w:t>
      </w:r>
      <w:proofErr w:type="gramStart"/>
      <w:r>
        <w:t>programs</w:t>
      </w:r>
      <w:proofErr w:type="gramEnd"/>
      <w:r>
        <w:t xml:space="preserve"> not initially 100% compliant. In accordance with TEIS’s pre-finding correction practices effective in FFY 2023 and OSEP’s 23-01 guidance, these EIS programs were verified as 100% compliant prior to the issuance of findings of noncompliance; therefore, no Indicator 8B findings were issued for these programs.</w:t>
      </w:r>
    </w:p>
    <w:p w14:paraId="0E3DA51E" w14:textId="77777777" w:rsidR="008D36D9" w:rsidRDefault="008D36D9" w:rsidP="00DE12DF">
      <w:pPr>
        <w:spacing w:after="0"/>
        <w:textAlignment w:val="baseline"/>
        <w:rPr>
          <w:rFonts w:eastAsia="Times New Roman" w:cs="Arial"/>
          <w:b/>
          <w:bCs/>
          <w:szCs w:val="16"/>
        </w:rPr>
      </w:pPr>
    </w:p>
    <w:p w14:paraId="6DF42C10" w14:textId="7777777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8C. The percentage of toddlers with disabilities exiting Part C with timely transition planning for whom the Lead Agency has:</w:t>
      </w:r>
    </w:p>
    <w:p w14:paraId="4B4B5C8B"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C.  Conducted the transition conference held with the approval of the family at least 90 days (and, at the discretion of all parties, not more than nine months) prior to the toddler’s third birthday for toddlers potentially eligible for Part B preschool services. (20 U.S.C. 1416(a)(3)(B) and 1442)</w:t>
      </w:r>
      <w:r w:rsidRPr="007D0769">
        <w:rPr>
          <w:rFonts w:eastAsia="Times New Roman" w:cs="Arial"/>
          <w:szCs w:val="16"/>
        </w:rPr>
        <w:t> </w:t>
      </w:r>
    </w:p>
    <w:p w14:paraId="252A2EB8"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C"/>
      </w:tblPr>
      <w:tblGrid>
        <w:gridCol w:w="2158"/>
        <w:gridCol w:w="2158"/>
        <w:gridCol w:w="2158"/>
        <w:gridCol w:w="2158"/>
        <w:gridCol w:w="2158"/>
      </w:tblGrid>
      <w:tr w:rsidR="00DE12DF" w:rsidRPr="007D0769" w14:paraId="7F0FA4CD" w14:textId="77777777" w:rsidTr="00EC51AB">
        <w:trPr>
          <w:trHeight w:val="360"/>
          <w:tblHeader/>
        </w:trPr>
        <w:tc>
          <w:tcPr>
            <w:tcW w:w="2158" w:type="dxa"/>
          </w:tcPr>
          <w:p w14:paraId="5E4F03BC"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184F3AA9" w14:textId="77777777"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58" w:type="dxa"/>
          </w:tcPr>
          <w:p w14:paraId="328A266F"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78F13D46"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59C8952C" w14:textId="77777777" w:rsidR="00DE12DF" w:rsidRPr="007D0769" w:rsidRDefault="00DE12DF" w:rsidP="00727602">
            <w:pPr>
              <w:jc w:val="center"/>
              <w:textAlignment w:val="baseline"/>
              <w:rPr>
                <w:rFonts w:eastAsia="Calibri" w:cs="Arial"/>
                <w:b/>
                <w:szCs w:val="16"/>
              </w:rPr>
            </w:pPr>
            <w:r w:rsidRPr="00755D89">
              <w:rPr>
                <w:rFonts w:eastAsia="Times New Roman" w:cs="Arial"/>
                <w:b/>
                <w:bCs/>
                <w:szCs w:val="16"/>
              </w:rPr>
              <w:t xml:space="preserve">Column </w:t>
            </w:r>
            <w:proofErr w:type="gramStart"/>
            <w:r w:rsidRPr="00755D89">
              <w:rPr>
                <w:rFonts w:eastAsia="Times New Roman" w:cs="Arial"/>
                <w:b/>
                <w:bCs/>
                <w:szCs w:val="16"/>
              </w:rPr>
              <w:t>D: #</w:t>
            </w:r>
            <w:proofErr w:type="gramEnd"/>
            <w:r w:rsidRPr="00755D89">
              <w:rPr>
                <w:rFonts w:eastAsia="Times New Roman" w:cs="Arial"/>
                <w:b/>
                <w:bCs/>
                <w:szCs w:val="16"/>
              </w:rPr>
              <w:t xml:space="preserve"> of written findings of noncompliance from Columns A and B for which correction was not completed or timely corrected</w:t>
            </w:r>
          </w:p>
        </w:tc>
      </w:tr>
      <w:tr w:rsidR="00DE12DF" w:rsidRPr="00755D89" w14:paraId="17FB8288" w14:textId="77777777" w:rsidTr="00EC51AB">
        <w:trPr>
          <w:trHeight w:val="360"/>
          <w:tblHeader/>
        </w:trPr>
        <w:tc>
          <w:tcPr>
            <w:tcW w:w="2158" w:type="dxa"/>
          </w:tcPr>
          <w:p w14:paraId="16325B4A" w14:textId="77777777"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24E4E174" w14:textId="77777777"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7BA9E220" w14:textId="77777777" w:rsidR="00DE12DF" w:rsidRPr="007D0769" w:rsidRDefault="00DE12DF" w:rsidP="00C52090">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3F54CE4D" w14:textId="77777777"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337B305F" w14:textId="7777777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26CB62F7" w14:textId="77777777" w:rsidR="00641B02" w:rsidRDefault="00641B02" w:rsidP="004650EA">
      <w:pPr>
        <w:keepNext/>
        <w:spacing w:after="0"/>
        <w:rPr>
          <w:rFonts w:eastAsia="Times New Roman" w:cs="Arial"/>
          <w:b/>
          <w:szCs w:val="16"/>
        </w:rPr>
      </w:pPr>
    </w:p>
    <w:p w14:paraId="63A0631D" w14:textId="77777777"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1B073105" w14:textId="77777777" w:rsidR="004650EA" w:rsidRPr="00FF3A04" w:rsidRDefault="004650EA" w:rsidP="004650EA">
      <w:pPr>
        <w:keepNext/>
        <w:spacing w:after="0"/>
        <w:rPr>
          <w:rFonts w:eastAsia="Times New Roman" w:cs="Arial"/>
          <w:bCs/>
          <w:szCs w:val="16"/>
        </w:rPr>
      </w:pPr>
      <w:r>
        <w:rPr>
          <w:rFonts w:eastAsia="Times New Roman" w:cs="Arial"/>
          <w:bCs/>
          <w:szCs w:val="16"/>
        </w:rPr>
        <w:t>No findings were issued for Indicator 8C in FFY 2023, either through annual monitoring or other processes. In FFY 2023, TEIS implemented pre-finding correction procedures for compliance. This approach was discontinued beginning in FFY 2024.</w:t>
      </w:r>
    </w:p>
    <w:p w14:paraId="7DF04C5A" w14:textId="77777777" w:rsidR="00E918FF" w:rsidRPr="007D0769" w:rsidRDefault="00E918FF" w:rsidP="00E918F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06AE1A1A" w14:textId="77777777" w:rsidR="00DE12DF" w:rsidRDefault="00DE12DF" w:rsidP="00DE12DF">
      <w:pPr>
        <w:rPr>
          <w:rFonts w:eastAsia="Calibri" w:cs="Arial"/>
          <w:szCs w:val="16"/>
        </w:rPr>
      </w:pPr>
      <w:r>
        <w:rPr>
          <w:rFonts w:eastAsia="Calibri" w:cs="Arial"/>
          <w:szCs w:val="16"/>
        </w:rPr>
        <w:t>In FFY 2023, TEIS utilized pre-finding correction for Indicator 8C. This practice was discontinued beginning in FFY 2024.</w:t>
      </w:r>
    </w:p>
    <w:p w14:paraId="602BFF3B" w14:textId="77777777" w:rsidR="007876EE" w:rsidRDefault="007876EE"/>
    <w:p w14:paraId="12EB6596" w14:textId="77777777" w:rsidR="007876EE" w:rsidRDefault="00000000">
      <w:r>
        <w:t>On December 5, 2023, TEIS reviewed data for all Transition Planning Conferences (TPCs) due in October 2023 for annual monitoring. Of the nine EIS programs, three were verified as 100% compliant.</w:t>
      </w:r>
    </w:p>
    <w:p w14:paraId="6BA4D53A" w14:textId="77777777" w:rsidR="007876EE" w:rsidRDefault="007876EE"/>
    <w:p w14:paraId="2D94F294" w14:textId="77777777" w:rsidR="007876EE" w:rsidRDefault="00000000">
      <w:r>
        <w:t>Correction Process-Regulatory Requirements</w:t>
      </w:r>
    </w:p>
    <w:p w14:paraId="462AEFCE" w14:textId="77777777" w:rsidR="007876EE" w:rsidRDefault="00000000">
      <w:r>
        <w:t>The IDEA Implementation Team identified each instance of untimely Transition Planning Conferences attributable to the early intervention system. Reasons for delay were reviewed, and the responsible entity (LEA, TEIS POE) was identified for monthly monitoring until correction was verified.</w:t>
      </w:r>
    </w:p>
    <w:p w14:paraId="783E9C15" w14:textId="77777777" w:rsidR="007876EE" w:rsidRDefault="007876EE"/>
    <w:p w14:paraId="14F6C133" w14:textId="77777777" w:rsidR="007876EE" w:rsidRDefault="00000000">
      <w:r>
        <w:t>Systemic correction was achieved when no untimely TPCs were attributable to the early intervention system in a subsequent month. However, a finding was only considered corrected when all child-level noncompliance was also resolved.</w:t>
      </w:r>
    </w:p>
    <w:p w14:paraId="595E86D6" w14:textId="77777777" w:rsidR="007876EE" w:rsidRDefault="007876EE"/>
    <w:p w14:paraId="1A679A42" w14:textId="77777777" w:rsidR="007876EE" w:rsidRDefault="00000000">
      <w:r>
        <w:t>Monthly data reviews were conducted as follows:</w:t>
      </w:r>
    </w:p>
    <w:p w14:paraId="139599A4" w14:textId="77777777" w:rsidR="007876EE" w:rsidRDefault="00000000">
      <w:r>
        <w:t>-October 2023 data was monitored until all outstanding instances of child-level noncompliance were corrected.</w:t>
      </w:r>
    </w:p>
    <w:p w14:paraId="6D33DCE0" w14:textId="77777777" w:rsidR="007876EE" w:rsidRDefault="00000000">
      <w:r>
        <w:t xml:space="preserve">-Data for TPCs due in November, December, and January were reviewed for pre-finding </w:t>
      </w:r>
      <w:proofErr w:type="gramStart"/>
      <w:r>
        <w:t>correction</w:t>
      </w:r>
      <w:proofErr w:type="gramEnd"/>
      <w:r>
        <w:t xml:space="preserve"> in January, February, and March 2024, respectively, for both systemic and child-level compliance.</w:t>
      </w:r>
    </w:p>
    <w:p w14:paraId="79AD7555" w14:textId="77777777" w:rsidR="007876EE" w:rsidRDefault="007876EE"/>
    <w:p w14:paraId="0E7B36BE" w14:textId="77777777" w:rsidR="007876EE" w:rsidRDefault="00000000">
      <w:r>
        <w:t>TEIS verified correction at both levels for all six EIS programs that were not initially 100% compliant. These programs were considered corrected prior to the issuance of findings.</w:t>
      </w:r>
    </w:p>
    <w:p w14:paraId="27EFCA0D"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352722F3" w14:textId="77777777" w:rsidR="00DE12DF" w:rsidRDefault="00DE12DF" w:rsidP="00DE12DF">
      <w:pPr>
        <w:rPr>
          <w:rFonts w:eastAsia="Calibri" w:cs="Arial"/>
          <w:szCs w:val="16"/>
        </w:rPr>
      </w:pPr>
      <w:r>
        <w:rPr>
          <w:rFonts w:eastAsia="Calibri" w:cs="Arial"/>
          <w:szCs w:val="16"/>
        </w:rPr>
        <w:t>In FFY 2023, TEIS utilized pre-finding correction for Indicator 8C. This practice was discontinued beginning in FFY 2024.</w:t>
      </w:r>
    </w:p>
    <w:p w14:paraId="39749008" w14:textId="77777777" w:rsidR="007876EE" w:rsidRDefault="007876EE"/>
    <w:p w14:paraId="47C64EE2" w14:textId="77777777" w:rsidR="007876EE" w:rsidRDefault="00000000">
      <w:r>
        <w:t>On December 5, 2023, TEIS reviewed data for all Transition Planning Conferences (TPCs) due in October 2023 for annual monitoring. Of the nine EIS programs, three were verified as 100% compliant.</w:t>
      </w:r>
    </w:p>
    <w:p w14:paraId="1DCD14FC" w14:textId="77777777" w:rsidR="007876EE" w:rsidRDefault="007876EE"/>
    <w:p w14:paraId="5FAADC10" w14:textId="77777777" w:rsidR="007876EE" w:rsidRDefault="00000000">
      <w:r>
        <w:t>Correction Process-Child-Level Compliance</w:t>
      </w:r>
    </w:p>
    <w:p w14:paraId="38C94DD2" w14:textId="77777777" w:rsidR="007876EE" w:rsidRDefault="00000000">
      <w:r>
        <w:t xml:space="preserve">The IDEA Implementation Team documented each instance of Transition Planning Conferences that were past due and not yet delivered at the time of monitoring. TEIS refers to these as past due pending. For each case, the specific child identification number was logged for investigation and follow-up, as reasons for delay are only entered into the system once the meeting is held. </w:t>
      </w:r>
    </w:p>
    <w:p w14:paraId="1DBB3C5F" w14:textId="77777777" w:rsidR="007876EE" w:rsidRDefault="007876EE"/>
    <w:p w14:paraId="3307BC23" w14:textId="77777777" w:rsidR="007876EE" w:rsidRDefault="00000000">
      <w:r>
        <w:t>Child-Level Compliance</w:t>
      </w:r>
    </w:p>
    <w:p w14:paraId="4AC96A53" w14:textId="77777777" w:rsidR="007876EE" w:rsidRDefault="00000000">
      <w:r>
        <w:t>Child-level compliance was achieved when all outstanding past due TPCs were resolved for the source of noncompliance identified in the finding. Resolution could occur by:</w:t>
      </w:r>
    </w:p>
    <w:p w14:paraId="2C00C34D" w14:textId="77777777" w:rsidR="007876EE" w:rsidRDefault="00000000">
      <w:r>
        <w:t>-Holding the meeting.</w:t>
      </w:r>
    </w:p>
    <w:p w14:paraId="34512FF3" w14:textId="77777777" w:rsidR="007876EE" w:rsidRDefault="00000000">
      <w:r>
        <w:t xml:space="preserve">-Family withdrawal from early intervention services. </w:t>
      </w:r>
    </w:p>
    <w:p w14:paraId="29A941FD" w14:textId="77777777" w:rsidR="007876EE" w:rsidRDefault="007876EE"/>
    <w:p w14:paraId="5D55500A" w14:textId="77777777" w:rsidR="007876EE" w:rsidRDefault="00000000">
      <w:r>
        <w:t>Child-level correction was confirmed when no past due IFSP meetings remained for the EIS program in the original data pull and all subsequent months until correction. A finding was only considered corrected when there were also no systemic delays for the same entity.</w:t>
      </w:r>
    </w:p>
    <w:p w14:paraId="2CEC7443" w14:textId="77777777" w:rsidR="007876EE" w:rsidRDefault="007876EE"/>
    <w:p w14:paraId="06350603" w14:textId="77777777" w:rsidR="007876EE" w:rsidRDefault="00000000">
      <w:r>
        <w:t>Monthly data reviews were conducted as follows:</w:t>
      </w:r>
    </w:p>
    <w:p w14:paraId="3B344222" w14:textId="77777777" w:rsidR="007876EE" w:rsidRDefault="00000000">
      <w:r>
        <w:t>-October 2023 data was monitored until all outstanding instances of child-level noncompliance were corrected.</w:t>
      </w:r>
    </w:p>
    <w:p w14:paraId="5ED9F029" w14:textId="77777777" w:rsidR="007876EE" w:rsidRDefault="00000000">
      <w:r>
        <w:t xml:space="preserve">-Data for TPCs due in November, December, and January were reviewed for pre-finding </w:t>
      </w:r>
      <w:proofErr w:type="gramStart"/>
      <w:r>
        <w:t>correction</w:t>
      </w:r>
      <w:proofErr w:type="gramEnd"/>
      <w:r>
        <w:t xml:space="preserve"> in January, February, and March 2024, respectively, for both systemic and child-level compliance.</w:t>
      </w:r>
    </w:p>
    <w:p w14:paraId="69DF3E9E" w14:textId="77777777" w:rsidR="007876EE" w:rsidRDefault="007876EE"/>
    <w:p w14:paraId="3472188D" w14:textId="77777777" w:rsidR="007876EE" w:rsidRDefault="00000000">
      <w:r>
        <w:t>TEIS verified correction at both levels for all six EIS programs that were not initially 100% compliant. These programs were considered corrected prior to the issuance of findings.</w:t>
      </w:r>
    </w:p>
    <w:p w14:paraId="1824BB4E" w14:textId="77777777" w:rsidR="00DE12DF" w:rsidRPr="007D0769" w:rsidRDefault="00DE12DF" w:rsidP="00DE12DF">
      <w:pPr>
        <w:spacing w:after="0"/>
        <w:textAlignment w:val="baseline"/>
        <w:rPr>
          <w:rFonts w:eastAsia="Times New Roman" w:cs="Arial"/>
          <w:b/>
          <w:bCs/>
          <w:szCs w:val="16"/>
        </w:rPr>
      </w:pPr>
    </w:p>
    <w:p w14:paraId="54327042" w14:textId="77777777" w:rsidR="00DE12DF" w:rsidRDefault="00DE12DF" w:rsidP="00DE12DF">
      <w:pPr>
        <w:rPr>
          <w:rFonts w:eastAsia="Calibri" w:cs="Arial"/>
          <w:b/>
          <w:i/>
          <w:iCs/>
          <w:szCs w:val="16"/>
        </w:rPr>
      </w:pPr>
      <w:r>
        <w:rPr>
          <w:rFonts w:eastAsia="Calibri" w:cs="Arial"/>
          <w:b/>
          <w:i/>
          <w:iCs/>
          <w:szCs w:val="16"/>
        </w:rPr>
        <w:t xml:space="preserve">Optional for FFY </w:t>
      </w:r>
      <w:proofErr w:type="gramStart"/>
      <w:r>
        <w:rPr>
          <w:rFonts w:eastAsia="Calibri" w:cs="Arial"/>
          <w:b/>
          <w:i/>
          <w:iCs/>
          <w:szCs w:val="16"/>
        </w:rPr>
        <w:t>2024,</w:t>
      </w:r>
      <w:proofErr w:type="gramEnd"/>
      <w:r>
        <w:rPr>
          <w:rFonts w:eastAsia="Calibri" w:cs="Arial"/>
          <w:b/>
          <w:i/>
          <w:iCs/>
          <w:szCs w:val="16"/>
        </w:rPr>
        <w:t xml:space="preserve"> and 2025: </w:t>
      </w:r>
    </w:p>
    <w:p w14:paraId="2E097469" w14:textId="77777777" w:rsidR="00DE12DF" w:rsidRPr="00E1308A" w:rsidRDefault="00DE12DF" w:rsidP="00DE12DF">
      <w:pPr>
        <w:rPr>
          <w:rFonts w:eastAsia="Calibri" w:cs="Arial"/>
          <w:b/>
          <w:i/>
          <w:iCs/>
          <w:szCs w:val="16"/>
        </w:rPr>
      </w:pPr>
      <w:r>
        <w:rPr>
          <w:rFonts w:eastAsia="Calibri" w:cs="Arial"/>
          <w:b/>
          <w:i/>
          <w:iCs/>
          <w:szCs w:val="16"/>
        </w:rPr>
        <w:t xml:space="preserve">Other Areas - All other findings: States may report here on all other findings of noncompliance that were not reported under the compliance indicators listed above (e.g., Results indicators (including related requirements), Fiscal, Dispute Resolution, etc.). </w:t>
      </w:r>
    </w:p>
    <w:p w14:paraId="3BC3B138" w14:textId="77777777" w:rsidR="00DE12DF" w:rsidRDefault="00DE12DF" w:rsidP="00DE12DF">
      <w:pPr>
        <w:rPr>
          <w:rFonts w:eastAsia="Calibri" w:cs="Arial"/>
          <w:b/>
          <w:i/>
          <w:iCs/>
          <w:szCs w:val="16"/>
        </w:rPr>
      </w:pPr>
    </w:p>
    <w:tbl>
      <w:tblPr>
        <w:tblStyle w:val="TableGrid"/>
        <w:tblW w:w="8725" w:type="dxa"/>
        <w:tblLayout w:type="fixed"/>
        <w:tblLook w:val="04A0" w:firstRow="1" w:lastRow="0" w:firstColumn="1" w:lastColumn="0" w:noHBand="0" w:noVBand="1"/>
        <w:tblCaption w:val="C12FONOTH"/>
      </w:tblPr>
      <w:tblGrid>
        <w:gridCol w:w="2682"/>
        <w:gridCol w:w="2983"/>
        <w:gridCol w:w="3060"/>
      </w:tblGrid>
      <w:tr w:rsidR="00DE12DF" w:rsidRPr="007D0769" w14:paraId="00F11B44" w14:textId="77777777" w:rsidTr="00EC51AB">
        <w:trPr>
          <w:trHeight w:val="360"/>
          <w:tblHeader/>
        </w:trPr>
        <w:tc>
          <w:tcPr>
            <w:tcW w:w="2682" w:type="dxa"/>
          </w:tcPr>
          <w:p w14:paraId="5D727959"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lastRenderedPageBreak/>
              <w:t>Column B:</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983" w:type="dxa"/>
          </w:tcPr>
          <w:p w14:paraId="0BA63A87" w14:textId="77777777" w:rsidR="00DE12DF" w:rsidRPr="007D0769" w:rsidRDefault="00DE12DF" w:rsidP="00727602">
            <w:pPr>
              <w:jc w:val="center"/>
              <w:textAlignment w:val="baseline"/>
              <w:rPr>
                <w:rFonts w:eastAsia="Calibri" w:cs="Arial"/>
                <w:b/>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060" w:type="dxa"/>
          </w:tcPr>
          <w:p w14:paraId="032015CD" w14:textId="77777777" w:rsidR="00DE12DF" w:rsidRPr="007D0769" w:rsidRDefault="00DE12DF" w:rsidP="00727602">
            <w:pPr>
              <w:jc w:val="center"/>
              <w:textAlignment w:val="baseline"/>
              <w:rPr>
                <w:rFonts w:eastAsia="Calibri" w:cs="Arial"/>
                <w:b/>
                <w:szCs w:val="16"/>
              </w:rPr>
            </w:pPr>
            <w:r w:rsidRPr="00CA6004">
              <w:rPr>
                <w:rFonts w:eastAsia="Times New Roman" w:cs="Arial"/>
                <w:b/>
                <w:bCs/>
                <w:szCs w:val="16"/>
              </w:rPr>
              <w:t xml:space="preserve">Column </w:t>
            </w:r>
            <w:proofErr w:type="gramStart"/>
            <w:r w:rsidRPr="00CA6004">
              <w:rPr>
                <w:rFonts w:eastAsia="Times New Roman" w:cs="Arial"/>
                <w:b/>
                <w:bCs/>
                <w:szCs w:val="16"/>
              </w:rPr>
              <w:t>D:</w:t>
            </w:r>
            <w:r w:rsidRPr="00CA6004">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DE12DF" w:rsidRPr="007D0769" w14:paraId="690A9530" w14:textId="77777777" w:rsidTr="00EC51AB">
        <w:trPr>
          <w:trHeight w:val="360"/>
          <w:tblHeader/>
        </w:trPr>
        <w:tc>
          <w:tcPr>
            <w:tcW w:w="2682" w:type="dxa"/>
          </w:tcPr>
          <w:p w14:paraId="3CAF9F40" w14:textId="77777777" w:rsidR="00DE12DF" w:rsidRPr="007D0769" w:rsidRDefault="00DE12DF">
            <w:pPr>
              <w:jc w:val="center"/>
              <w:textAlignment w:val="baseline"/>
              <w:rPr>
                <w:rFonts w:eastAsia="Times New Roman" w:cs="Arial"/>
                <w:b/>
                <w:bCs/>
                <w:szCs w:val="16"/>
              </w:rPr>
            </w:pPr>
          </w:p>
        </w:tc>
        <w:tc>
          <w:tcPr>
            <w:tcW w:w="2983" w:type="dxa"/>
          </w:tcPr>
          <w:p w14:paraId="387D36C8" w14:textId="77777777" w:rsidR="00DE12DF" w:rsidRPr="007D0769" w:rsidRDefault="00DE12DF">
            <w:pPr>
              <w:jc w:val="center"/>
              <w:textAlignment w:val="baseline"/>
              <w:rPr>
                <w:rFonts w:eastAsia="Times New Roman" w:cs="Arial"/>
                <w:b/>
                <w:bCs/>
                <w:szCs w:val="16"/>
              </w:rPr>
            </w:pPr>
          </w:p>
        </w:tc>
        <w:tc>
          <w:tcPr>
            <w:tcW w:w="3060" w:type="dxa"/>
          </w:tcPr>
          <w:p w14:paraId="36AB69E7" w14:textId="77777777" w:rsidR="00DE12DF" w:rsidRPr="00947802" w:rsidRDefault="00DE12DF" w:rsidP="00C35B75">
            <w:pPr>
              <w:jc w:val="center"/>
              <w:textAlignment w:val="baseline"/>
              <w:rPr>
                <w:rFonts w:eastAsia="Times New Roman" w:cs="Arial"/>
                <w:szCs w:val="16"/>
                <w:lang w:val="es-ES"/>
              </w:rPr>
            </w:pPr>
          </w:p>
        </w:tc>
      </w:tr>
    </w:tbl>
    <w:p w14:paraId="560A3D36" w14:textId="77777777" w:rsidR="00DE12DF" w:rsidRPr="007D0769" w:rsidRDefault="00DE12DF" w:rsidP="00DE12DF">
      <w:pPr>
        <w:rPr>
          <w:rFonts w:eastAsia="Calibri" w:cs="Arial"/>
          <w:b/>
          <w:szCs w:val="16"/>
        </w:rPr>
      </w:pPr>
    </w:p>
    <w:p w14:paraId="61DB143C" w14:textId="77777777" w:rsidR="00DE12DF" w:rsidRDefault="00DA15A3" w:rsidP="00DE12DF">
      <w:pPr>
        <w:rPr>
          <w:rFonts w:eastAsia="Calibri" w:cs="Arial"/>
          <w:b/>
          <w:szCs w:val="16"/>
        </w:rPr>
      </w:pPr>
      <w:r>
        <w:rPr>
          <w:rFonts w:eastAsia="Calibri" w:cs="Arial"/>
          <w:b/>
          <w:szCs w:val="16"/>
        </w:rPr>
        <w:t xml:space="preserve">Please explain the source (e.g., State monitoring, State database/data system, dispute resolution, fiscal, related requirements, etc.) of any findings reported in this section: </w:t>
      </w:r>
    </w:p>
    <w:p w14:paraId="2CA436E9" w14:textId="77777777" w:rsidR="00DE12DF" w:rsidRPr="006675B4" w:rsidRDefault="00DE12DF" w:rsidP="00DE12DF">
      <w:pPr>
        <w:rPr>
          <w:rFonts w:eastAsia="Calibri" w:cs="Arial"/>
          <w:bCs/>
          <w:szCs w:val="16"/>
        </w:rPr>
      </w:pPr>
    </w:p>
    <w:p w14:paraId="32DB5ED0" w14:textId="77777777" w:rsidR="00DE12DF" w:rsidRPr="00604167" w:rsidRDefault="00DE12DF" w:rsidP="00DE12DF">
      <w:pPr>
        <w:rPr>
          <w:rFonts w:eastAsia="Calibri" w:cs="Arial"/>
          <w:b/>
          <w:szCs w:val="16"/>
        </w:rPr>
      </w:pPr>
      <w:r>
        <w:rPr>
          <w:rFonts w:eastAsia="Calibri" w:cs="Arial"/>
          <w:b/>
          <w:szCs w:val="16"/>
        </w:rPr>
        <w:t xml:space="preserve">Please describe, consistent with OSEP QA 23-01, how the State verified that the </w:t>
      </w:r>
      <w:r w:rsidR="008A1B8D">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 xml:space="preserve">: </w:t>
      </w:r>
    </w:p>
    <w:p w14:paraId="24D1270F" w14:textId="77777777" w:rsidR="00DE12DF" w:rsidRPr="006675B4" w:rsidRDefault="00DE12DF" w:rsidP="00DE12DF">
      <w:pPr>
        <w:rPr>
          <w:rFonts w:eastAsia="Calibri" w:cs="Arial"/>
          <w:bCs/>
          <w:szCs w:val="16"/>
        </w:rPr>
      </w:pPr>
    </w:p>
    <w:p w14:paraId="06D42798" w14:textId="77777777" w:rsidR="00DE12DF" w:rsidRPr="00C35B75" w:rsidRDefault="00DE12DF" w:rsidP="00DE12DF">
      <w:pPr>
        <w:rPr>
          <w:rFonts w:eastAsia="Calibri" w:cs="Arial"/>
          <w:b/>
          <w:szCs w:val="16"/>
        </w:rPr>
      </w:pPr>
      <w:r w:rsidRPr="00C35B75">
        <w:rPr>
          <w:rFonts w:eastAsia="Calibri" w:cs="Arial"/>
          <w:b/>
          <w:szCs w:val="16"/>
        </w:rPr>
        <w:t xml:space="preserve">Please describe, consistent with OSEP QA 23-01, how the State verified that each </w:t>
      </w:r>
      <w:r w:rsidRPr="00C35B75">
        <w:rPr>
          <w:rFonts w:eastAsia="Calibri" w:cs="Arial"/>
          <w:b/>
          <w:i/>
          <w:iCs/>
          <w:szCs w:val="16"/>
        </w:rPr>
        <w:t>individual case</w:t>
      </w:r>
      <w:r w:rsidRPr="00C35B75">
        <w:rPr>
          <w:rFonts w:eastAsia="Calibri" w:cs="Arial"/>
          <w:b/>
          <w:szCs w:val="16"/>
        </w:rPr>
        <w:t xml:space="preserve"> of noncompliance was corrected: </w:t>
      </w:r>
    </w:p>
    <w:p w14:paraId="13FFAE17" w14:textId="77777777" w:rsidR="00DE12DF" w:rsidRPr="006675B4" w:rsidRDefault="00DE12DF" w:rsidP="00DE12DF">
      <w:pPr>
        <w:rPr>
          <w:rFonts w:eastAsia="Calibri" w:cs="Arial"/>
          <w:bCs/>
          <w:szCs w:val="16"/>
        </w:rPr>
      </w:pPr>
    </w:p>
    <w:p w14:paraId="52C660DA" w14:textId="77777777" w:rsidR="00957496" w:rsidRPr="00C35B75" w:rsidRDefault="00957496" w:rsidP="00DE12DF">
      <w:pPr>
        <w:rPr>
          <w:rFonts w:eastAsia="Calibri" w:cs="Arial"/>
          <w:b/>
          <w:szCs w:val="16"/>
        </w:rPr>
      </w:pPr>
    </w:p>
    <w:p w14:paraId="1F7E6363" w14:textId="77777777" w:rsidR="00DE12DF" w:rsidRPr="007D0769" w:rsidRDefault="00DE12DF" w:rsidP="00DE12DF">
      <w:pPr>
        <w:rPr>
          <w:rFonts w:eastAsia="Calibri" w:cs="Arial"/>
          <w:b/>
          <w:szCs w:val="16"/>
        </w:rPr>
      </w:pPr>
      <w:r w:rsidRPr="007D0769">
        <w:rPr>
          <w:rFonts w:eastAsia="Calibri" w:cs="Arial"/>
          <w:b/>
          <w:szCs w:val="16"/>
        </w:rPr>
        <w:t xml:space="preserve">Total for All Noncompliance Identified (Indicators 1, 7, 8A, 8B, 8C, and Optional Areas): </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C12FONTOT"/>
      </w:tblPr>
      <w:tblGrid>
        <w:gridCol w:w="2165"/>
        <w:gridCol w:w="2165"/>
        <w:gridCol w:w="2165"/>
        <w:gridCol w:w="2165"/>
        <w:gridCol w:w="2165"/>
      </w:tblGrid>
      <w:tr w:rsidR="00C35B75" w:rsidRPr="007D0769" w14:paraId="63B38682" w14:textId="77777777" w:rsidTr="00EC51AB">
        <w:trPr>
          <w:trHeight w:val="360"/>
          <w:tblHeader/>
        </w:trPr>
        <w:tc>
          <w:tcPr>
            <w:tcW w:w="2165" w:type="dxa"/>
          </w:tcPr>
          <w:p w14:paraId="4EB79EC9" w14:textId="77777777" w:rsidR="00DE12DF" w:rsidRPr="00947802" w:rsidRDefault="00DE12DF" w:rsidP="00727602">
            <w:pPr>
              <w:jc w:val="center"/>
              <w:textAlignment w:val="baseline"/>
              <w:rPr>
                <w:rFonts w:eastAsia="Times New Roman" w:cs="Arial"/>
                <w:b/>
                <w:bCs/>
                <w:szCs w:val="16"/>
              </w:rPr>
            </w:pPr>
            <w:r w:rsidRPr="007D0769">
              <w:rPr>
                <w:rFonts w:eastAsia="Times New Roman" w:cs="Arial"/>
                <w:b/>
                <w:bCs/>
                <w:szCs w:val="16"/>
              </w:rPr>
              <w:t>Column A: # of written findings of noncompliance identified in FFY 2023 (7/1/23 – 6/30/24)</w:t>
            </w:r>
          </w:p>
        </w:tc>
        <w:tc>
          <w:tcPr>
            <w:tcW w:w="2165" w:type="dxa"/>
          </w:tcPr>
          <w:p w14:paraId="75536C58" w14:textId="77777777" w:rsidR="00DE12DF" w:rsidRPr="007D0769" w:rsidRDefault="00DE12DF" w:rsidP="00727602">
            <w:pPr>
              <w:ind w:left="45" w:right="77"/>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B: #</w:t>
            </w:r>
            <w:proofErr w:type="gramEnd"/>
            <w:r w:rsidRPr="007D0769">
              <w:rPr>
                <w:rFonts w:eastAsia="Times New Roman" w:cs="Arial"/>
                <w:b/>
                <w:bCs/>
                <w:szCs w:val="16"/>
              </w:rPr>
              <w:t xml:space="preserve"> of any other written findings of noncompliance identified in FFY 2023 not reported in Column A (e.g., those issued based on other IDEA requirements), if applicable</w:t>
            </w:r>
          </w:p>
        </w:tc>
        <w:tc>
          <w:tcPr>
            <w:tcW w:w="2165" w:type="dxa"/>
          </w:tcPr>
          <w:p w14:paraId="1C705851" w14:textId="77777777"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C1:</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65" w:type="dxa"/>
          </w:tcPr>
          <w:p w14:paraId="1CF8E814" w14:textId="77777777"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 xml:space="preserve">Column </w:t>
            </w:r>
            <w:proofErr w:type="gramStart"/>
            <w:r w:rsidRPr="007D0769">
              <w:rPr>
                <w:rFonts w:eastAsia="Times New Roman" w:cs="Arial"/>
                <w:b/>
                <w:bCs/>
                <w:szCs w:val="16"/>
              </w:rPr>
              <w:t>C2:</w:t>
            </w:r>
            <w:r w:rsidRPr="007D076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65" w:type="dxa"/>
          </w:tcPr>
          <w:p w14:paraId="13EC1A24" w14:textId="77777777" w:rsidR="00DE12DF" w:rsidRPr="007D0769" w:rsidRDefault="00DE12DF" w:rsidP="00727602">
            <w:pPr>
              <w:jc w:val="center"/>
              <w:textAlignment w:val="baseline"/>
              <w:rPr>
                <w:rFonts w:eastAsia="Times New Roman" w:cs="Arial"/>
                <w:szCs w:val="16"/>
              </w:rPr>
            </w:pPr>
            <w:r w:rsidRPr="00755D89">
              <w:rPr>
                <w:rFonts w:eastAsia="Times New Roman" w:cs="Arial"/>
                <w:b/>
                <w:bCs/>
                <w:szCs w:val="16"/>
              </w:rPr>
              <w:t xml:space="preserve">Column </w:t>
            </w:r>
            <w:proofErr w:type="gramStart"/>
            <w:r w:rsidRPr="00755D89">
              <w:rPr>
                <w:rFonts w:eastAsia="Times New Roman" w:cs="Arial"/>
                <w:b/>
                <w:bCs/>
                <w:szCs w:val="16"/>
              </w:rPr>
              <w:t>D:</w:t>
            </w:r>
            <w:r w:rsidRPr="00755D89">
              <w:rPr>
                <w:rFonts w:eastAsia="Times New Roman" w:cs="Arial"/>
                <w:szCs w:val="16"/>
              </w:rPr>
              <w:t> </w:t>
            </w:r>
            <w:r w:rsidRPr="007D0769">
              <w:rPr>
                <w:rFonts w:eastAsia="Times New Roman" w:cs="Arial"/>
                <w:b/>
                <w:bCs/>
                <w:szCs w:val="16"/>
              </w:rPr>
              <w:t>#</w:t>
            </w:r>
            <w:proofErr w:type="gramEnd"/>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35B75" w:rsidRPr="007D0769" w14:paraId="79A0B7F9" w14:textId="77777777" w:rsidTr="00EC51AB">
        <w:trPr>
          <w:trHeight w:val="360"/>
          <w:tblHeader/>
        </w:trPr>
        <w:tc>
          <w:tcPr>
            <w:tcW w:w="2165" w:type="dxa"/>
            <w:hideMark/>
          </w:tcPr>
          <w:p w14:paraId="793C023D" w14:textId="77777777"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0</w:t>
            </w:r>
          </w:p>
        </w:tc>
        <w:tc>
          <w:tcPr>
            <w:tcW w:w="2165" w:type="dxa"/>
          </w:tcPr>
          <w:p w14:paraId="0E2ED646"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35DEF580" w14:textId="77777777"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0</w:t>
            </w:r>
          </w:p>
        </w:tc>
        <w:tc>
          <w:tcPr>
            <w:tcW w:w="2165" w:type="dxa"/>
          </w:tcPr>
          <w:p w14:paraId="457D0093"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678BCF68" w14:textId="77777777"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r>
    </w:tbl>
    <w:p w14:paraId="25BEBA94" w14:textId="77777777" w:rsidR="00F35B4D" w:rsidRDefault="00F35B4D" w:rsidP="00DE12DF">
      <w:pPr>
        <w:rPr>
          <w:rFonts w:eastAsia="Times New Roman" w:cs="Arial"/>
          <w:b/>
          <w:bCs/>
          <w:szCs w:val="16"/>
        </w:rPr>
      </w:pPr>
    </w:p>
    <w:p w14:paraId="210881A1" w14:textId="77777777" w:rsidR="00DE12DF" w:rsidRPr="007D0769" w:rsidRDefault="00B55430" w:rsidP="00DE12DF">
      <w:pPr>
        <w:rPr>
          <w:rFonts w:eastAsia="Times New Roman" w:cs="Arial"/>
          <w:b/>
          <w:bCs/>
          <w:szCs w:val="16"/>
        </w:rPr>
      </w:pPr>
      <w:r>
        <w:rPr>
          <w:rFonts w:eastAsia="Times New Roman" w:cs="Arial"/>
          <w:b/>
          <w:bCs/>
          <w:szCs w:val="16"/>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FYAPRDATA"/>
      </w:tblPr>
      <w:tblGrid>
        <w:gridCol w:w="2338"/>
        <w:gridCol w:w="2338"/>
        <w:gridCol w:w="1221"/>
        <w:gridCol w:w="1224"/>
        <w:gridCol w:w="1224"/>
        <w:gridCol w:w="1224"/>
        <w:gridCol w:w="1221"/>
      </w:tblGrid>
      <w:tr w:rsidR="00B55430" w:rsidRPr="007D0769" w14:paraId="311E37CE" w14:textId="77777777" w:rsidTr="00EC51AB">
        <w:trPr>
          <w:trHeight w:val="360"/>
          <w:tblHeader/>
        </w:trPr>
        <w:tc>
          <w:tcPr>
            <w:tcW w:w="1083" w:type="pct"/>
          </w:tcPr>
          <w:p w14:paraId="5E61CA5D" w14:textId="77777777" w:rsidR="00DE12DF" w:rsidRPr="007D0769" w:rsidRDefault="00DE12DF">
            <w:pPr>
              <w:jc w:val="center"/>
              <w:rPr>
                <w:rFonts w:eastAsia="Calibri" w:cs="Arial"/>
                <w:b/>
                <w:szCs w:val="16"/>
              </w:rPr>
            </w:pPr>
            <w:r w:rsidRPr="007D0769">
              <w:rPr>
                <w:rFonts w:eastAsia="Calibri" w:cs="Arial"/>
                <w:b/>
                <w:szCs w:val="16"/>
              </w:rPr>
              <w:t>Number of findings of Noncompliance that were timely corrected</w:t>
            </w:r>
          </w:p>
        </w:tc>
        <w:tc>
          <w:tcPr>
            <w:tcW w:w="1083" w:type="pct"/>
          </w:tcPr>
          <w:p w14:paraId="689D398F" w14:textId="77777777" w:rsidR="00DE12DF" w:rsidRPr="007D0769" w:rsidRDefault="00DE12DF">
            <w:pPr>
              <w:jc w:val="center"/>
              <w:rPr>
                <w:rFonts w:eastAsia="Calibri" w:cs="Arial"/>
                <w:b/>
                <w:szCs w:val="16"/>
              </w:rPr>
            </w:pPr>
            <w:r w:rsidRPr="007D0769">
              <w:rPr>
                <w:rFonts w:eastAsia="Calibri" w:cs="Arial"/>
                <w:b/>
                <w:szCs w:val="16"/>
              </w:rPr>
              <w:t>Number of findings of Noncompliance that were identified in FFY 2023</w:t>
            </w:r>
          </w:p>
        </w:tc>
        <w:tc>
          <w:tcPr>
            <w:tcW w:w="566" w:type="pct"/>
          </w:tcPr>
          <w:p w14:paraId="72B612BD" w14:textId="77777777" w:rsidR="00DE12DF" w:rsidRPr="007D0769" w:rsidRDefault="00DE12DF" w:rsidP="00727602">
            <w:pPr>
              <w:jc w:val="center"/>
              <w:rPr>
                <w:rFonts w:eastAsia="Calibri" w:cs="Arial"/>
                <w:b/>
                <w:szCs w:val="16"/>
              </w:rPr>
            </w:pPr>
            <w:r w:rsidRPr="007D0769">
              <w:rPr>
                <w:rFonts w:eastAsia="Calibri" w:cs="Arial"/>
                <w:b/>
                <w:szCs w:val="16"/>
              </w:rPr>
              <w:t>FFY 2023 Data</w:t>
            </w:r>
          </w:p>
        </w:tc>
        <w:tc>
          <w:tcPr>
            <w:tcW w:w="567" w:type="pct"/>
          </w:tcPr>
          <w:p w14:paraId="4DF9DD29" w14:textId="77777777" w:rsidR="00DE12DF" w:rsidRPr="007D0769" w:rsidRDefault="00DE12DF">
            <w:pPr>
              <w:jc w:val="center"/>
              <w:rPr>
                <w:rFonts w:eastAsia="Calibri" w:cs="Arial"/>
                <w:b/>
                <w:szCs w:val="16"/>
              </w:rPr>
            </w:pPr>
            <w:r w:rsidRPr="007D0769">
              <w:rPr>
                <w:rFonts w:eastAsia="Calibri" w:cs="Arial"/>
                <w:b/>
                <w:szCs w:val="16"/>
              </w:rPr>
              <w:t>FFY 2024 Target</w:t>
            </w:r>
          </w:p>
        </w:tc>
        <w:tc>
          <w:tcPr>
            <w:tcW w:w="567" w:type="pct"/>
          </w:tcPr>
          <w:p w14:paraId="05A65B85" w14:textId="77777777" w:rsidR="00DE12DF" w:rsidRPr="007D0769" w:rsidRDefault="00DE12DF" w:rsidP="00727602">
            <w:pPr>
              <w:jc w:val="center"/>
              <w:rPr>
                <w:rFonts w:eastAsia="Calibri" w:cs="Arial"/>
                <w:b/>
                <w:szCs w:val="16"/>
              </w:rPr>
            </w:pPr>
            <w:r w:rsidRPr="007D0769">
              <w:rPr>
                <w:rFonts w:eastAsia="Calibri" w:cs="Arial"/>
                <w:b/>
                <w:szCs w:val="16"/>
              </w:rPr>
              <w:t>FFY 2024 Data</w:t>
            </w:r>
          </w:p>
        </w:tc>
        <w:tc>
          <w:tcPr>
            <w:tcW w:w="567" w:type="pct"/>
          </w:tcPr>
          <w:p w14:paraId="5A11A6D3" w14:textId="77777777" w:rsidR="00DE12DF" w:rsidRPr="007D0769" w:rsidRDefault="00DE12DF">
            <w:pPr>
              <w:jc w:val="center"/>
              <w:rPr>
                <w:rFonts w:eastAsia="Calibri" w:cs="Arial"/>
                <w:b/>
                <w:szCs w:val="16"/>
              </w:rPr>
            </w:pPr>
            <w:r w:rsidRPr="007D0769">
              <w:rPr>
                <w:rFonts w:eastAsia="Calibri" w:cs="Arial"/>
                <w:b/>
                <w:szCs w:val="16"/>
              </w:rPr>
              <w:t>Status</w:t>
            </w:r>
          </w:p>
        </w:tc>
        <w:tc>
          <w:tcPr>
            <w:tcW w:w="566" w:type="pct"/>
          </w:tcPr>
          <w:p w14:paraId="7239DE9E" w14:textId="77777777" w:rsidR="00DE12DF" w:rsidRPr="007D0769" w:rsidRDefault="00DE12DF">
            <w:pPr>
              <w:jc w:val="center"/>
              <w:rPr>
                <w:rFonts w:eastAsia="Calibri" w:cs="Arial"/>
                <w:b/>
                <w:szCs w:val="16"/>
              </w:rPr>
            </w:pPr>
            <w:r w:rsidRPr="007D0769">
              <w:rPr>
                <w:rFonts w:eastAsia="Calibri" w:cs="Arial"/>
                <w:b/>
                <w:szCs w:val="16"/>
              </w:rPr>
              <w:t>Slippage</w:t>
            </w:r>
          </w:p>
        </w:tc>
      </w:tr>
      <w:tr w:rsidR="00B55430" w:rsidRPr="007D0769" w14:paraId="64D21F43" w14:textId="77777777" w:rsidTr="00EC51AB">
        <w:trPr>
          <w:trHeight w:val="360"/>
          <w:tblHeader/>
        </w:trPr>
        <w:tc>
          <w:tcPr>
            <w:tcW w:w="1083" w:type="pct"/>
          </w:tcPr>
          <w:p w14:paraId="6F4F9C98" w14:textId="77777777" w:rsidR="00DE2DFB" w:rsidRPr="007D0769" w:rsidRDefault="00DE2DFB" w:rsidP="00727602">
            <w:pPr>
              <w:jc w:val="center"/>
              <w:rPr>
                <w:rFonts w:eastAsia="Calibri" w:cs="Arial"/>
                <w:iCs/>
                <w:szCs w:val="16"/>
              </w:rPr>
            </w:pPr>
            <w:r>
              <w:rPr>
                <w:rFonts w:cs="Arial"/>
                <w:color w:val="000000" w:themeColor="text1"/>
                <w:szCs w:val="16"/>
              </w:rPr>
              <w:t>0</w:t>
            </w:r>
          </w:p>
        </w:tc>
        <w:tc>
          <w:tcPr>
            <w:tcW w:w="1083" w:type="pct"/>
          </w:tcPr>
          <w:p w14:paraId="5C376D5A" w14:textId="77777777" w:rsidR="00DE2DFB" w:rsidRPr="007D0769" w:rsidRDefault="00DE2DFB" w:rsidP="00727602">
            <w:pPr>
              <w:jc w:val="center"/>
              <w:rPr>
                <w:rFonts w:eastAsia="Calibri" w:cs="Arial"/>
                <w:iCs/>
                <w:szCs w:val="16"/>
              </w:rPr>
            </w:pPr>
            <w:r>
              <w:rPr>
                <w:rFonts w:cs="Arial"/>
                <w:color w:val="000000" w:themeColor="text1"/>
                <w:szCs w:val="16"/>
              </w:rPr>
              <w:t>0</w:t>
            </w:r>
          </w:p>
        </w:tc>
        <w:tc>
          <w:tcPr>
            <w:tcW w:w="566" w:type="pct"/>
          </w:tcPr>
          <w:p w14:paraId="556AF288" w14:textId="77777777" w:rsidR="00DE2DFB" w:rsidRPr="007D0769" w:rsidRDefault="00DE2DFB" w:rsidP="00DE2DFB">
            <w:pPr>
              <w:jc w:val="center"/>
              <w:rPr>
                <w:rFonts w:eastAsia="Calibri" w:cs="Arial"/>
                <w:caps/>
                <w:szCs w:val="16"/>
              </w:rPr>
            </w:pPr>
            <w:r w:rsidRPr="00ED172B">
              <w:rPr>
                <w:rFonts w:cs="Arial"/>
                <w:color w:val="000000" w:themeColor="text1"/>
                <w:szCs w:val="16"/>
              </w:rPr>
              <w:t>100.00%</w:t>
            </w:r>
          </w:p>
        </w:tc>
        <w:tc>
          <w:tcPr>
            <w:tcW w:w="567" w:type="pct"/>
          </w:tcPr>
          <w:p w14:paraId="02E72746" w14:textId="77777777" w:rsidR="00DE2DFB" w:rsidRPr="007D0769" w:rsidRDefault="00DE2DFB" w:rsidP="00DE2DFB">
            <w:pPr>
              <w:jc w:val="center"/>
              <w:rPr>
                <w:rFonts w:eastAsia="Calibri" w:cs="Arial"/>
                <w:caps/>
                <w:szCs w:val="16"/>
              </w:rPr>
            </w:pPr>
            <w:r w:rsidRPr="00ED172B">
              <w:rPr>
                <w:color w:val="000000" w:themeColor="text1"/>
                <w:szCs w:val="16"/>
              </w:rPr>
              <w:t>100%</w:t>
            </w:r>
          </w:p>
        </w:tc>
        <w:tc>
          <w:tcPr>
            <w:tcW w:w="567" w:type="pct"/>
          </w:tcPr>
          <w:p w14:paraId="78DA5010" w14:textId="77777777" w:rsidR="00DE2DFB" w:rsidRPr="007D0769" w:rsidRDefault="00DE2DFB" w:rsidP="00DE2DFB">
            <w:pPr>
              <w:jc w:val="center"/>
              <w:rPr>
                <w:rFonts w:eastAsia="Calibri" w:cs="Arial"/>
                <w:caps/>
                <w:szCs w:val="16"/>
              </w:rPr>
            </w:pPr>
          </w:p>
        </w:tc>
        <w:tc>
          <w:tcPr>
            <w:tcW w:w="567" w:type="pct"/>
          </w:tcPr>
          <w:p w14:paraId="6A3E7963" w14:textId="77777777" w:rsidR="00DE2DFB" w:rsidRPr="007D0769" w:rsidRDefault="00DE2DFB" w:rsidP="00DE2DFB">
            <w:pPr>
              <w:jc w:val="center"/>
              <w:rPr>
                <w:rFonts w:eastAsia="Calibri" w:cs="Arial"/>
                <w:caps/>
                <w:szCs w:val="16"/>
              </w:rPr>
            </w:pPr>
            <w:r w:rsidRPr="00ED172B">
              <w:rPr>
                <w:color w:val="000000" w:themeColor="text1"/>
              </w:rPr>
              <w:t>N/A</w:t>
            </w:r>
          </w:p>
        </w:tc>
        <w:tc>
          <w:tcPr>
            <w:tcW w:w="566" w:type="pct"/>
          </w:tcPr>
          <w:p w14:paraId="79C3BA61" w14:textId="77777777" w:rsidR="00DE2DFB" w:rsidRPr="007D0769" w:rsidRDefault="00DE2DFB" w:rsidP="00DE2DFB">
            <w:pPr>
              <w:jc w:val="center"/>
              <w:rPr>
                <w:rFonts w:eastAsia="Calibri" w:cs="Arial"/>
                <w:caps/>
                <w:szCs w:val="16"/>
              </w:rPr>
            </w:pPr>
            <w:r w:rsidRPr="00ED172B">
              <w:rPr>
                <w:color w:val="000000" w:themeColor="text1"/>
              </w:rPr>
              <w:t>N/A</w:t>
            </w:r>
          </w:p>
        </w:tc>
      </w:tr>
    </w:tbl>
    <w:p w14:paraId="6C062946" w14:textId="77777777" w:rsidR="00DE12DF" w:rsidRDefault="00DE12DF" w:rsidP="00DE12D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ONNTC"/>
      </w:tblPr>
      <w:tblGrid>
        <w:gridCol w:w="8095"/>
        <w:gridCol w:w="2695"/>
      </w:tblGrid>
      <w:tr w:rsidR="00DE12DF" w:rsidRPr="007D0769" w14:paraId="103074EC" w14:textId="77777777" w:rsidTr="00EC51AB">
        <w:trPr>
          <w:trHeight w:val="720"/>
        </w:trPr>
        <w:tc>
          <w:tcPr>
            <w:tcW w:w="3751" w:type="pct"/>
            <w:vAlign w:val="center"/>
          </w:tcPr>
          <w:p w14:paraId="436A5DC3" w14:textId="77777777" w:rsidR="00DE12DF" w:rsidRPr="007D0769" w:rsidRDefault="00DE12DF">
            <w:pPr>
              <w:jc w:val="center"/>
              <w:rPr>
                <w:rFonts w:eastAsia="Calibri" w:cs="Arial"/>
                <w:caps/>
                <w:szCs w:val="16"/>
              </w:rPr>
            </w:pPr>
            <w:r w:rsidRPr="00F471F8">
              <w:rPr>
                <w:rFonts w:eastAsia="Calibri" w:cs="Arial"/>
                <w:iCs/>
                <w:szCs w:val="16"/>
              </w:rPr>
              <w:t>Percent of findings of noncompliance not corrected or not verified as corrected within one year of identification</w:t>
            </w:r>
          </w:p>
        </w:tc>
        <w:tc>
          <w:tcPr>
            <w:tcW w:w="1249" w:type="pct"/>
            <w:vAlign w:val="center"/>
          </w:tcPr>
          <w:p w14:paraId="629BDB14" w14:textId="77777777" w:rsidR="00DE12DF" w:rsidRPr="00727602" w:rsidRDefault="00DE12DF" w:rsidP="0055390C">
            <w:pPr>
              <w:jc w:val="center"/>
              <w:rPr>
                <w:rFonts w:eastAsia="Calibri" w:cs="Arial"/>
                <w:iCs/>
                <w:szCs w:val="16"/>
              </w:rPr>
            </w:pPr>
          </w:p>
        </w:tc>
      </w:tr>
    </w:tbl>
    <w:p w14:paraId="2E022F5E" w14:textId="77777777" w:rsidR="00DE12DF" w:rsidRPr="00947802" w:rsidRDefault="00DE12DF" w:rsidP="00DE12DF">
      <w:pPr>
        <w:keepNext/>
        <w:spacing w:after="0"/>
        <w:rPr>
          <w:rFonts w:eastAsia="Calibri" w:cs="Arial"/>
          <w:b/>
          <w:szCs w:val="16"/>
        </w:rPr>
      </w:pPr>
      <w:r w:rsidRPr="00947802">
        <w:rPr>
          <w:rFonts w:eastAsia="Calibri" w:cs="Arial"/>
          <w:b/>
          <w:szCs w:val="16"/>
        </w:rPr>
        <w:t>Provide additional information about this indicator (optional)</w:t>
      </w:r>
    </w:p>
    <w:p w14:paraId="24DFF461" w14:textId="77777777" w:rsidR="00DE12DF" w:rsidRPr="006675B4" w:rsidRDefault="00DE12DF" w:rsidP="00DE12DF">
      <w:pPr>
        <w:rPr>
          <w:rFonts w:eastAsia="Calibri" w:cs="Arial"/>
          <w:bCs/>
        </w:rPr>
      </w:pPr>
    </w:p>
    <w:p w14:paraId="3EAEEECD" w14:textId="77777777" w:rsidR="00DE12DF" w:rsidRPr="00604167" w:rsidRDefault="00DE12DF" w:rsidP="00DE12DF">
      <w:pPr>
        <w:rPr>
          <w:rFonts w:eastAsia="Calibri" w:cs="Arial"/>
          <w:b/>
          <w:szCs w:val="16"/>
        </w:rPr>
      </w:pPr>
    </w:p>
    <w:p w14:paraId="580C05D7" w14:textId="77777777" w:rsidR="00DE12DF" w:rsidRPr="007D0769" w:rsidRDefault="00DE12DF" w:rsidP="00DE12DF">
      <w:pPr>
        <w:rPr>
          <w:rFonts w:eastAsia="Times New Roman" w:cs="Arial"/>
          <w:b/>
          <w:bCs/>
          <w:szCs w:val="16"/>
        </w:rPr>
      </w:pPr>
      <w:r w:rsidRPr="007D0769">
        <w:rPr>
          <w:rFonts w:eastAsia="Times New Roman" w:cs="Arial"/>
          <w:b/>
          <w:bCs/>
          <w:szCs w:val="16"/>
        </w:rPr>
        <w:t>Summary of Findings of Noncompliance identified in FFY 2023 Corrected in FFY 2024 (corrected within one year from identification of the noncompliance):</w:t>
      </w:r>
    </w:p>
    <w:tbl>
      <w:tblPr>
        <w:tblW w:w="10759"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TCSUMMARY"/>
      </w:tblPr>
      <w:tblGrid>
        <w:gridCol w:w="6750"/>
        <w:gridCol w:w="4009"/>
      </w:tblGrid>
      <w:tr w:rsidR="00F90937" w:rsidRPr="007D0769" w14:paraId="22018E79"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6048DB00"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1. Number of findings of noncompliance the State identified during FFY 2023 (the period from July 1, </w:t>
            </w:r>
            <w:proofErr w:type="gramStart"/>
            <w:r w:rsidRPr="007D0769">
              <w:rPr>
                <w:rFonts w:eastAsia="Times New Roman" w:cs="Arial"/>
                <w:szCs w:val="16"/>
              </w:rPr>
              <w:t>2023</w:t>
            </w:r>
            <w:proofErr w:type="gramEnd"/>
            <w:r w:rsidRPr="007D0769">
              <w:rPr>
                <w:rFonts w:eastAsia="Times New Roman" w:cs="Arial"/>
                <w:szCs w:val="16"/>
              </w:rPr>
              <w:t xml:space="preserve"> through June 30, 2024). </w:t>
            </w:r>
          </w:p>
        </w:tc>
        <w:tc>
          <w:tcPr>
            <w:tcW w:w="4009" w:type="dxa"/>
            <w:tcBorders>
              <w:top w:val="single" w:sz="6" w:space="0" w:color="auto"/>
              <w:left w:val="single" w:sz="6" w:space="0" w:color="auto"/>
              <w:bottom w:val="single" w:sz="6" w:space="0" w:color="auto"/>
              <w:right w:val="single" w:sz="6" w:space="0" w:color="auto"/>
            </w:tcBorders>
            <w:vAlign w:val="center"/>
          </w:tcPr>
          <w:p w14:paraId="66067D4B" w14:textId="77777777" w:rsidR="00DE12DF" w:rsidRPr="007D0769" w:rsidRDefault="0055390C" w:rsidP="00727602">
            <w:pPr>
              <w:jc w:val="center"/>
              <w:textAlignment w:val="baseline"/>
              <w:rPr>
                <w:rFonts w:eastAsia="Times New Roman" w:cs="Arial"/>
                <w:szCs w:val="16"/>
              </w:rPr>
            </w:pPr>
            <w:r>
              <w:rPr>
                <w:rFonts w:eastAsia="Times New Roman" w:cs="Arial"/>
                <w:szCs w:val="16"/>
              </w:rPr>
              <w:t>0</w:t>
            </w:r>
          </w:p>
        </w:tc>
      </w:tr>
      <w:tr w:rsidR="00F90937" w:rsidRPr="007D0769" w14:paraId="3FA412F6"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30C384D6"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2. Number of findings the State verified as timely corrected (corrected within one year from the date of written notification to the EIS program/provider of the finding) </w:t>
            </w:r>
          </w:p>
        </w:tc>
        <w:tc>
          <w:tcPr>
            <w:tcW w:w="4009" w:type="dxa"/>
            <w:tcBorders>
              <w:top w:val="single" w:sz="6" w:space="0" w:color="auto"/>
              <w:left w:val="single" w:sz="6" w:space="0" w:color="auto"/>
              <w:bottom w:val="single" w:sz="6" w:space="0" w:color="000000"/>
              <w:right w:val="single" w:sz="6" w:space="0" w:color="auto"/>
            </w:tcBorders>
            <w:vAlign w:val="center"/>
          </w:tcPr>
          <w:p w14:paraId="57CBC727" w14:textId="77777777" w:rsidR="00DE12DF" w:rsidRPr="007D0769" w:rsidRDefault="0055390C" w:rsidP="00727602">
            <w:pPr>
              <w:jc w:val="center"/>
              <w:textAlignment w:val="baseline"/>
              <w:rPr>
                <w:rFonts w:eastAsia="Times New Roman" w:cs="Arial"/>
                <w:szCs w:val="16"/>
              </w:rPr>
            </w:pPr>
            <w:r>
              <w:rPr>
                <w:rFonts w:eastAsia="Times New Roman" w:cs="Arial"/>
                <w:szCs w:val="16"/>
              </w:rPr>
              <w:t>0</w:t>
            </w:r>
          </w:p>
        </w:tc>
      </w:tr>
      <w:tr w:rsidR="00F90937" w:rsidRPr="007D0769" w14:paraId="1908880D" w14:textId="77777777" w:rsidTr="00EC51AB">
        <w:trPr>
          <w:trHeight w:val="360"/>
        </w:trPr>
        <w:tc>
          <w:tcPr>
            <w:tcW w:w="6750" w:type="dxa"/>
            <w:tcBorders>
              <w:top w:val="single" w:sz="6" w:space="0" w:color="auto"/>
              <w:left w:val="single" w:sz="6" w:space="0" w:color="auto"/>
              <w:bottom w:val="single" w:sz="6" w:space="0" w:color="000000"/>
              <w:right w:val="single" w:sz="6" w:space="0" w:color="auto"/>
            </w:tcBorders>
            <w:hideMark/>
          </w:tcPr>
          <w:p w14:paraId="14784182"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3. Number of findings </w:t>
            </w:r>
            <w:r w:rsidRPr="007D0769">
              <w:rPr>
                <w:rFonts w:eastAsia="Times New Roman" w:cs="Arial"/>
                <w:szCs w:val="16"/>
                <w:u w:val="single"/>
              </w:rPr>
              <w:t>not</w:t>
            </w:r>
            <w:r w:rsidRPr="007D0769">
              <w:rPr>
                <w:rFonts w:eastAsia="Times New Roman" w:cs="Arial"/>
                <w:szCs w:val="16"/>
              </w:rPr>
              <w:t xml:space="preserve"> verified as corrected within one year </w:t>
            </w:r>
          </w:p>
        </w:tc>
        <w:tc>
          <w:tcPr>
            <w:tcW w:w="4009" w:type="dxa"/>
            <w:tcBorders>
              <w:top w:val="single" w:sz="6" w:space="0" w:color="auto"/>
              <w:left w:val="single" w:sz="6" w:space="0" w:color="auto"/>
              <w:bottom w:val="single" w:sz="6" w:space="0" w:color="000000"/>
              <w:right w:val="single" w:sz="6" w:space="0" w:color="auto"/>
            </w:tcBorders>
            <w:vAlign w:val="center"/>
          </w:tcPr>
          <w:p w14:paraId="6475DF68" w14:textId="77777777" w:rsidR="00DE12DF" w:rsidRPr="007D0769" w:rsidRDefault="0055390C" w:rsidP="00727602">
            <w:pPr>
              <w:jc w:val="center"/>
              <w:textAlignment w:val="baseline"/>
              <w:rPr>
                <w:rFonts w:eastAsia="Times New Roman" w:cs="Arial"/>
                <w:szCs w:val="16"/>
              </w:rPr>
            </w:pPr>
            <w:r>
              <w:rPr>
                <w:rFonts w:eastAsia="Times New Roman" w:cs="Arial"/>
                <w:szCs w:val="16"/>
              </w:rPr>
              <w:t>0</w:t>
            </w:r>
          </w:p>
        </w:tc>
      </w:tr>
    </w:tbl>
    <w:p w14:paraId="77582A71" w14:textId="77777777" w:rsidR="00DE12DF" w:rsidRPr="007D0769" w:rsidRDefault="00DE12DF" w:rsidP="00DE12DF">
      <w:pPr>
        <w:spacing w:after="0"/>
        <w:jc w:val="both"/>
        <w:textAlignment w:val="baseline"/>
        <w:rPr>
          <w:rFonts w:eastAsia="Times New Roman" w:cs="Arial"/>
          <w:szCs w:val="16"/>
        </w:rPr>
      </w:pPr>
    </w:p>
    <w:p w14:paraId="0C613B72" w14:textId="77777777" w:rsidR="00DE12DF" w:rsidRPr="007D0769" w:rsidRDefault="00DE12DF" w:rsidP="00DE12DF">
      <w:pPr>
        <w:rPr>
          <w:rFonts w:eastAsia="Times New Roman" w:cs="Arial"/>
          <w:b/>
          <w:bCs/>
          <w:szCs w:val="16"/>
        </w:rPr>
      </w:pPr>
      <w:r w:rsidRPr="007D0769">
        <w:rPr>
          <w:rFonts w:eastAsia="Times New Roman" w:cs="Arial"/>
          <w:b/>
          <w:bCs/>
          <w:szCs w:val="16"/>
        </w:rPr>
        <w:t>Subsequent Correction: Summary of All Outstanding Findings of Noncompliance identified in FFY 2023 Not Timely Corrected in FFY 2024 (corrected more than one year from identification of the noncompliance):  </w:t>
      </w:r>
    </w:p>
    <w:tbl>
      <w:tblPr>
        <w:tblW w:w="10718"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SC"/>
      </w:tblPr>
      <w:tblGrid>
        <w:gridCol w:w="6546"/>
        <w:gridCol w:w="4172"/>
      </w:tblGrid>
      <w:tr w:rsidR="006E5DBC" w:rsidRPr="007D0769" w14:paraId="55F1FF56"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09324AC7"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4. Number of findings of noncompliance not timely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696B56E8" w14:textId="77777777"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6E5DBC" w:rsidRPr="007D0769" w14:paraId="6786FF81"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hideMark/>
          </w:tcPr>
          <w:p w14:paraId="3FDD6627" w14:textId="77777777" w:rsidR="00DE12DF" w:rsidRPr="007D0769" w:rsidRDefault="00DE12DF" w:rsidP="00727602">
            <w:pPr>
              <w:textAlignment w:val="baseline"/>
              <w:rPr>
                <w:rFonts w:eastAsia="Times New Roman" w:cs="Arial"/>
                <w:szCs w:val="16"/>
              </w:rPr>
            </w:pPr>
            <w:r w:rsidRPr="007D0769">
              <w:rPr>
                <w:rFonts w:eastAsia="Times New Roman" w:cs="Arial"/>
                <w:szCs w:val="16"/>
              </w:rPr>
              <w:t>5. Number of written findings of noncompliance (Col. A) the State has verified as corrected beyond the one-year timeline ("subsequent correction") - as reported in Indicator 1, 7, 8A, 8B, 8C</w:t>
            </w:r>
          </w:p>
        </w:tc>
        <w:tc>
          <w:tcPr>
            <w:tcW w:w="4172" w:type="dxa"/>
            <w:tcBorders>
              <w:top w:val="single" w:sz="6" w:space="0" w:color="auto"/>
              <w:left w:val="single" w:sz="6" w:space="0" w:color="auto"/>
              <w:bottom w:val="single" w:sz="6" w:space="0" w:color="000000"/>
              <w:right w:val="single" w:sz="6" w:space="0" w:color="auto"/>
            </w:tcBorders>
            <w:vAlign w:val="center"/>
          </w:tcPr>
          <w:p w14:paraId="2BA4ACD4" w14:textId="77777777"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A95B74" w:rsidRPr="007D0769" w14:paraId="1B7E7FDF"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4104E46F" w14:textId="77777777" w:rsidR="00A95B74" w:rsidRPr="007D0769" w:rsidRDefault="00A95B74" w:rsidP="00A95B74">
            <w:pPr>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1</w:t>
            </w:r>
          </w:p>
        </w:tc>
        <w:tc>
          <w:tcPr>
            <w:tcW w:w="4172" w:type="dxa"/>
            <w:tcBorders>
              <w:top w:val="single" w:sz="6" w:space="0" w:color="auto"/>
              <w:left w:val="single" w:sz="6" w:space="0" w:color="auto"/>
              <w:bottom w:val="single" w:sz="6" w:space="0" w:color="000000"/>
              <w:right w:val="single" w:sz="6" w:space="0" w:color="auto"/>
            </w:tcBorders>
            <w:vAlign w:val="center"/>
          </w:tcPr>
          <w:p w14:paraId="73BC57BA" w14:textId="77777777" w:rsidR="00A95B74" w:rsidRPr="00A95B74" w:rsidRDefault="00A95B74" w:rsidP="00A95B74">
            <w:pPr>
              <w:jc w:val="center"/>
              <w:textAlignment w:val="baseline"/>
              <w:rPr>
                <w:rFonts w:cs="Arial"/>
                <w:color w:val="00B0F0"/>
                <w:szCs w:val="16"/>
              </w:rPr>
            </w:pPr>
          </w:p>
        </w:tc>
      </w:tr>
      <w:tr w:rsidR="00A95B74" w:rsidRPr="007D0769" w14:paraId="774E0925"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5EFC46E1" w14:textId="77777777" w:rsidR="00A95B74" w:rsidRPr="007D0769" w:rsidRDefault="00A95B74" w:rsidP="00A95B74">
            <w:pPr>
              <w:textAlignment w:val="baseline"/>
              <w:rPr>
                <w:rFonts w:eastAsia="Times New Roman" w:cs="Arial"/>
                <w:szCs w:val="16"/>
              </w:rPr>
            </w:pPr>
            <w:r w:rsidRPr="00DD1AE0">
              <w:rPr>
                <w:rFonts w:eastAsia="Times New Roman" w:cs="Arial"/>
                <w:szCs w:val="16"/>
              </w:rPr>
              <w:t>6b. Number of additional written findings of noncompliance (Col. B) the state has verified as corrected beyond the one-year timeline (“subsequent correction”) - Indicator 7</w:t>
            </w:r>
          </w:p>
        </w:tc>
        <w:tc>
          <w:tcPr>
            <w:tcW w:w="4172" w:type="dxa"/>
            <w:tcBorders>
              <w:top w:val="single" w:sz="6" w:space="0" w:color="auto"/>
              <w:left w:val="single" w:sz="6" w:space="0" w:color="auto"/>
              <w:bottom w:val="single" w:sz="6" w:space="0" w:color="000000"/>
              <w:right w:val="single" w:sz="6" w:space="0" w:color="auto"/>
            </w:tcBorders>
            <w:vAlign w:val="center"/>
          </w:tcPr>
          <w:p w14:paraId="0F3820C6" w14:textId="77777777" w:rsidR="00A95B74" w:rsidRPr="00EC51AB" w:rsidRDefault="00A95B74" w:rsidP="00A95B74">
            <w:pPr>
              <w:jc w:val="center"/>
              <w:textAlignment w:val="baseline"/>
              <w:rPr>
                <w:rFonts w:cs="Arial"/>
                <w:szCs w:val="16"/>
              </w:rPr>
            </w:pPr>
          </w:p>
        </w:tc>
      </w:tr>
      <w:tr w:rsidR="00A95B74" w:rsidRPr="007D0769" w14:paraId="29B532FE"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07C1B9A5" w14:textId="77777777" w:rsidR="00A95B74" w:rsidRPr="007D0769" w:rsidRDefault="00A95B74" w:rsidP="00A95B74">
            <w:pPr>
              <w:textAlignment w:val="baseline"/>
              <w:rPr>
                <w:rFonts w:eastAsia="Times New Roman" w:cs="Arial"/>
                <w:szCs w:val="16"/>
              </w:rPr>
            </w:pPr>
            <w:r w:rsidRPr="00DD1AE0">
              <w:rPr>
                <w:rFonts w:eastAsia="Times New Roman" w:cs="Arial"/>
                <w:szCs w:val="16"/>
              </w:rPr>
              <w:lastRenderedPageBreak/>
              <w:t>6c. Number of additional written findings of noncompliance (Col. B) the state has verified as corrected beyond the one-year timeline (“subsequent correction”) - Indicator 8A</w:t>
            </w:r>
          </w:p>
        </w:tc>
        <w:tc>
          <w:tcPr>
            <w:tcW w:w="4172" w:type="dxa"/>
            <w:tcBorders>
              <w:top w:val="single" w:sz="6" w:space="0" w:color="auto"/>
              <w:left w:val="single" w:sz="6" w:space="0" w:color="auto"/>
              <w:bottom w:val="single" w:sz="6" w:space="0" w:color="000000"/>
              <w:right w:val="single" w:sz="6" w:space="0" w:color="auto"/>
            </w:tcBorders>
            <w:vAlign w:val="center"/>
          </w:tcPr>
          <w:p w14:paraId="2DFBA351" w14:textId="77777777" w:rsidR="00A95B74" w:rsidRPr="00EC51AB" w:rsidRDefault="00A95B74" w:rsidP="00A95B74">
            <w:pPr>
              <w:jc w:val="center"/>
              <w:textAlignment w:val="baseline"/>
              <w:rPr>
                <w:rFonts w:cs="Arial"/>
                <w:szCs w:val="16"/>
              </w:rPr>
            </w:pPr>
          </w:p>
        </w:tc>
      </w:tr>
      <w:tr w:rsidR="00A95B74" w:rsidRPr="007D0769" w14:paraId="43870D7B"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27720893" w14:textId="77777777" w:rsidR="00A95B74" w:rsidRPr="007D0769" w:rsidRDefault="00A95B74" w:rsidP="00A95B74">
            <w:pPr>
              <w:textAlignment w:val="baseline"/>
              <w:rPr>
                <w:rFonts w:eastAsia="Times New Roman" w:cs="Arial"/>
                <w:szCs w:val="16"/>
              </w:rPr>
            </w:pPr>
            <w:r w:rsidRPr="00DD1AE0">
              <w:rPr>
                <w:rFonts w:eastAsia="Times New Roman" w:cs="Arial"/>
                <w:szCs w:val="16"/>
              </w:rPr>
              <w:t>6d. Number of additional written findings of noncompliance (Col. B) the state has verified as corrected beyond the one-year timeline (“subsequent correction”) - Indicator 8B</w:t>
            </w:r>
          </w:p>
        </w:tc>
        <w:tc>
          <w:tcPr>
            <w:tcW w:w="4172" w:type="dxa"/>
            <w:tcBorders>
              <w:top w:val="single" w:sz="6" w:space="0" w:color="auto"/>
              <w:left w:val="single" w:sz="6" w:space="0" w:color="auto"/>
              <w:bottom w:val="single" w:sz="6" w:space="0" w:color="000000"/>
              <w:right w:val="single" w:sz="6" w:space="0" w:color="auto"/>
            </w:tcBorders>
            <w:vAlign w:val="center"/>
          </w:tcPr>
          <w:p w14:paraId="5CBFC21F" w14:textId="77777777" w:rsidR="00A95B74" w:rsidRPr="00EC51AB" w:rsidRDefault="00A95B74" w:rsidP="00A95B74">
            <w:pPr>
              <w:jc w:val="center"/>
              <w:textAlignment w:val="baseline"/>
              <w:rPr>
                <w:rFonts w:cs="Arial"/>
                <w:szCs w:val="16"/>
              </w:rPr>
            </w:pPr>
          </w:p>
        </w:tc>
      </w:tr>
      <w:tr w:rsidR="00A95B74" w:rsidRPr="007D0769" w14:paraId="23EFA043"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2F1D08F1" w14:textId="77777777" w:rsidR="00A95B74" w:rsidRPr="007D0769" w:rsidRDefault="00A95B74" w:rsidP="00A95B74">
            <w:pPr>
              <w:textAlignment w:val="baseline"/>
              <w:rPr>
                <w:rFonts w:eastAsia="Times New Roman" w:cs="Arial"/>
                <w:szCs w:val="16"/>
              </w:rPr>
            </w:pPr>
            <w:r w:rsidRPr="00DD1AE0">
              <w:rPr>
                <w:rFonts w:eastAsia="Times New Roman" w:cs="Arial"/>
                <w:szCs w:val="16"/>
              </w:rPr>
              <w:t>6e. Number of additional written findings of noncompliance (Col. B) the state has verified as corrected beyond the one-year timeline (“subsequent correction”) - Indicator 8C</w:t>
            </w:r>
          </w:p>
        </w:tc>
        <w:tc>
          <w:tcPr>
            <w:tcW w:w="4172" w:type="dxa"/>
            <w:tcBorders>
              <w:top w:val="single" w:sz="6" w:space="0" w:color="auto"/>
              <w:left w:val="single" w:sz="6" w:space="0" w:color="auto"/>
              <w:bottom w:val="single" w:sz="6" w:space="0" w:color="000000"/>
              <w:right w:val="single" w:sz="6" w:space="0" w:color="auto"/>
            </w:tcBorders>
            <w:vAlign w:val="center"/>
          </w:tcPr>
          <w:p w14:paraId="07ECD68D" w14:textId="77777777" w:rsidR="00A95B74" w:rsidRPr="00EC51AB" w:rsidRDefault="00A95B74" w:rsidP="00A95B74">
            <w:pPr>
              <w:jc w:val="center"/>
              <w:textAlignment w:val="baseline"/>
              <w:rPr>
                <w:rFonts w:cs="Arial"/>
                <w:szCs w:val="16"/>
              </w:rPr>
            </w:pPr>
          </w:p>
        </w:tc>
      </w:tr>
      <w:tr w:rsidR="003A2D51" w:rsidRPr="007D0769" w14:paraId="56F4A5C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3AE3F74B" w14:textId="77777777" w:rsidR="003A2D51" w:rsidRPr="00DD1AE0" w:rsidRDefault="003A2D51" w:rsidP="003A2D51">
            <w:pPr>
              <w:textAlignment w:val="baseline"/>
              <w:rPr>
                <w:rFonts w:eastAsia="Times New Roman" w:cs="Arial"/>
                <w:szCs w:val="16"/>
              </w:rPr>
            </w:pPr>
            <w:r w:rsidRPr="00DD1AE0">
              <w:rPr>
                <w:rFonts w:eastAsia="Times New Roman" w:cs="Arial"/>
                <w:szCs w:val="16"/>
              </w:rPr>
              <w:t xml:space="preserve">6f. (optional) Number of written findings of noncompliance (Col. B) the state has verified as corrected beyond the one-year timeline (“subsequent correction”) - </w:t>
            </w:r>
            <w:r w:rsidRPr="00DA5B64">
              <w:rPr>
                <w:rFonts w:eastAsia="Calibri" w:cs="Arial"/>
                <w:bCs/>
                <w:szCs w:val="16"/>
              </w:rPr>
              <w:t xml:space="preserve">Other Areas - </w:t>
            </w:r>
            <w:r w:rsidRPr="00DA5B64">
              <w:rPr>
                <w:rFonts w:eastAsia="Calibri" w:cs="Arial"/>
                <w:bCs/>
                <w:szCs w:val="16"/>
                <w:u w:val="single"/>
              </w:rPr>
              <w:t>All other findings</w:t>
            </w:r>
          </w:p>
        </w:tc>
        <w:tc>
          <w:tcPr>
            <w:tcW w:w="4172" w:type="dxa"/>
            <w:tcBorders>
              <w:top w:val="single" w:sz="6" w:space="0" w:color="auto"/>
              <w:left w:val="single" w:sz="6" w:space="0" w:color="auto"/>
              <w:bottom w:val="single" w:sz="6" w:space="0" w:color="000000"/>
              <w:right w:val="single" w:sz="6" w:space="0" w:color="auto"/>
            </w:tcBorders>
            <w:vAlign w:val="center"/>
          </w:tcPr>
          <w:p w14:paraId="5692C0A0" w14:textId="77777777" w:rsidR="003A2D51" w:rsidRPr="00EC51AB" w:rsidRDefault="003A2D51" w:rsidP="003A2D51">
            <w:pPr>
              <w:jc w:val="center"/>
              <w:textAlignment w:val="baseline"/>
              <w:rPr>
                <w:rFonts w:cs="Arial"/>
                <w:szCs w:val="16"/>
              </w:rPr>
            </w:pPr>
          </w:p>
        </w:tc>
      </w:tr>
      <w:tr w:rsidR="003A2D51" w:rsidRPr="007D0769" w14:paraId="3614A7B0"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02895DA0" w14:textId="77777777" w:rsidR="003A2D51" w:rsidRPr="007D0769" w:rsidRDefault="003A2D51" w:rsidP="003A2D51">
            <w:pPr>
              <w:textAlignment w:val="baseline"/>
              <w:rPr>
                <w:rFonts w:eastAsia="Times New Roman" w:cs="Arial"/>
                <w:szCs w:val="16"/>
              </w:rPr>
            </w:pPr>
            <w:r>
              <w:rPr>
                <w:rFonts w:eastAsia="Times New Roman" w:cs="Arial"/>
                <w:szCs w:val="16"/>
              </w:rPr>
              <w:t xml:space="preserve">7. Number of findings </w:t>
            </w:r>
            <w:r w:rsidRPr="007D0769">
              <w:rPr>
                <w:rFonts w:eastAsia="Times New Roman" w:cs="Arial"/>
                <w:szCs w:val="16"/>
                <w:u w:val="single"/>
              </w:rPr>
              <w:t>not</w:t>
            </w:r>
            <w:r w:rsidRPr="007D0769">
              <w:rPr>
                <w:rFonts w:eastAsia="Times New Roman" w:cs="Arial"/>
                <w:szCs w:val="16"/>
              </w:rPr>
              <w:t xml:space="preserve"> yet verified as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6AD986C8" w14:textId="77777777" w:rsidR="003A2D51" w:rsidRPr="00840417" w:rsidRDefault="003A2D51" w:rsidP="003A2D51">
            <w:pPr>
              <w:jc w:val="center"/>
              <w:textAlignment w:val="baseline"/>
              <w:rPr>
                <w:rFonts w:eastAsia="Times New Roman" w:cs="Arial"/>
                <w:szCs w:val="16"/>
              </w:rPr>
            </w:pPr>
            <w:r w:rsidRPr="00840417">
              <w:rPr>
                <w:rFonts w:eastAsia="Times New Roman" w:cs="Arial"/>
                <w:szCs w:val="16"/>
              </w:rPr>
              <w:t>0</w:t>
            </w:r>
          </w:p>
        </w:tc>
      </w:tr>
    </w:tbl>
    <w:p w14:paraId="5171CD40" w14:textId="77777777" w:rsidR="00DE12DF" w:rsidRPr="007D0769" w:rsidRDefault="00DE12DF" w:rsidP="00DE12DF">
      <w:pPr>
        <w:spacing w:after="0"/>
        <w:ind w:left="15"/>
        <w:textAlignment w:val="baseline"/>
        <w:rPr>
          <w:rFonts w:eastAsia="Times New Roman" w:cs="Arial"/>
          <w:szCs w:val="16"/>
        </w:rPr>
      </w:pPr>
    </w:p>
    <w:p w14:paraId="15DBE093"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Subsequent correction:</w:t>
      </w:r>
      <w:r w:rsidRPr="007D0769">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w:t>
      </w:r>
    </w:p>
    <w:p w14:paraId="2F433674" w14:textId="77777777" w:rsidR="00AC243A" w:rsidRDefault="00AC243A" w:rsidP="00DE79BF">
      <w:pPr>
        <w:rPr>
          <w:rFonts w:eastAsia="Calibri" w:cs="Arial"/>
          <w:szCs w:val="16"/>
        </w:rPr>
      </w:pPr>
    </w:p>
    <w:p w14:paraId="408CCBD2" w14:textId="77777777" w:rsidR="0013498C" w:rsidRDefault="0013498C" w:rsidP="00DE79BF">
      <w:pPr>
        <w:rPr>
          <w:rFonts w:eastAsia="Calibri" w:cs="Arial"/>
          <w:szCs w:val="16"/>
        </w:rPr>
      </w:pPr>
    </w:p>
    <w:p w14:paraId="7473FC4C" w14:textId="77777777" w:rsidR="001F2D64" w:rsidRPr="00781112" w:rsidRDefault="001F2D64" w:rsidP="001F2D64">
      <w:pPr>
        <w:rPr>
          <w:color w:val="000000" w:themeColor="text1"/>
        </w:rPr>
      </w:pPr>
      <w:r>
        <w:rPr>
          <w:b/>
          <w:color w:val="000000" w:themeColor="text1"/>
        </w:rPr>
        <w:t>Correction of Findings of Noncompliance Identified Prior to FFY 2023</w:t>
      </w:r>
    </w:p>
    <w:tbl>
      <w:tblPr>
        <w:tblStyle w:val="TableGrid"/>
        <w:tblW w:w="5000" w:type="pct"/>
        <w:tblLayout w:type="fixed"/>
        <w:tblLook w:val="04A0" w:firstRow="1" w:lastRow="0" w:firstColumn="1" w:lastColumn="0" w:noHBand="0" w:noVBand="1"/>
        <w:tblCaption w:val="B13PPFFYNCFINDINGS"/>
      </w:tblPr>
      <w:tblGrid>
        <w:gridCol w:w="2697"/>
        <w:gridCol w:w="2697"/>
        <w:gridCol w:w="2698"/>
        <w:gridCol w:w="2698"/>
      </w:tblGrid>
      <w:tr w:rsidR="001F2D64" w:rsidRPr="00781112" w14:paraId="4FC56490" w14:textId="77777777" w:rsidTr="00D663A6">
        <w:trPr>
          <w:tblHeader/>
        </w:trPr>
        <w:tc>
          <w:tcPr>
            <w:tcW w:w="1250" w:type="pct"/>
            <w:tcBorders>
              <w:bottom w:val="single" w:sz="4" w:space="0" w:color="auto"/>
            </w:tcBorders>
            <w:vAlign w:val="bottom"/>
          </w:tcPr>
          <w:p w14:paraId="20A2D49D"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250" w:type="pct"/>
            <w:tcBorders>
              <w:bottom w:val="single" w:sz="4" w:space="0" w:color="auto"/>
            </w:tcBorders>
            <w:vAlign w:val="bottom"/>
          </w:tcPr>
          <w:p w14:paraId="21C35F2F" w14:textId="77777777" w:rsidR="001F2D64" w:rsidRPr="00781112" w:rsidRDefault="001F2D64" w:rsidP="00AC640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50" w:type="pct"/>
            <w:tcBorders>
              <w:bottom w:val="single" w:sz="4" w:space="0" w:color="auto"/>
            </w:tcBorders>
            <w:vAlign w:val="bottom"/>
          </w:tcPr>
          <w:p w14:paraId="5F2740E0"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50" w:type="pct"/>
            <w:tcBorders>
              <w:bottom w:val="single" w:sz="4" w:space="0" w:color="auto"/>
            </w:tcBorders>
            <w:vAlign w:val="bottom"/>
          </w:tcPr>
          <w:p w14:paraId="7FF0B10E"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Not Yet Verified as Corrected</w:t>
            </w:r>
          </w:p>
        </w:tc>
      </w:tr>
      <w:tr w:rsidR="001F2D64" w:rsidRPr="00781112" w14:paraId="7D55FCA9" w14:textId="77777777" w:rsidTr="00D663A6">
        <w:tc>
          <w:tcPr>
            <w:tcW w:w="1250" w:type="pct"/>
          </w:tcPr>
          <w:p w14:paraId="62AFD987" w14:textId="77777777" w:rsidR="001F2D64" w:rsidRPr="00781112" w:rsidRDefault="001F2D64" w:rsidP="00B24004">
            <w:pPr>
              <w:jc w:val="center"/>
              <w:rPr>
                <w:rFonts w:cs="Arial"/>
                <w:color w:val="000000" w:themeColor="text1"/>
                <w:szCs w:val="16"/>
              </w:rPr>
            </w:pPr>
          </w:p>
        </w:tc>
        <w:tc>
          <w:tcPr>
            <w:tcW w:w="1250" w:type="pct"/>
          </w:tcPr>
          <w:p w14:paraId="0F38FB7E" w14:textId="77777777" w:rsidR="001F2D64" w:rsidRPr="00781112" w:rsidRDefault="001F2D64" w:rsidP="00B24004">
            <w:pPr>
              <w:jc w:val="center"/>
              <w:rPr>
                <w:rFonts w:cs="Arial"/>
                <w:color w:val="000000" w:themeColor="text1"/>
                <w:szCs w:val="16"/>
              </w:rPr>
            </w:pPr>
          </w:p>
        </w:tc>
        <w:tc>
          <w:tcPr>
            <w:tcW w:w="1250" w:type="pct"/>
          </w:tcPr>
          <w:p w14:paraId="1814D662" w14:textId="77777777" w:rsidR="001F2D64" w:rsidRPr="00781112" w:rsidRDefault="001F2D64" w:rsidP="00B24004">
            <w:pPr>
              <w:jc w:val="center"/>
              <w:rPr>
                <w:rFonts w:cs="Arial"/>
                <w:color w:val="000000" w:themeColor="text1"/>
                <w:szCs w:val="16"/>
              </w:rPr>
            </w:pPr>
          </w:p>
        </w:tc>
        <w:tc>
          <w:tcPr>
            <w:tcW w:w="1250" w:type="pct"/>
          </w:tcPr>
          <w:p w14:paraId="72713D9F" w14:textId="77777777" w:rsidR="001F2D64" w:rsidRPr="00781112" w:rsidRDefault="001F2D64" w:rsidP="00B24004">
            <w:pPr>
              <w:jc w:val="center"/>
              <w:rPr>
                <w:rFonts w:cs="Arial"/>
                <w:color w:val="000000" w:themeColor="text1"/>
                <w:szCs w:val="16"/>
              </w:rPr>
            </w:pPr>
          </w:p>
        </w:tc>
      </w:tr>
      <w:tr w:rsidR="001F2D64" w:rsidRPr="00781112" w14:paraId="1AF2A5B2" w14:textId="77777777" w:rsidTr="00D663A6">
        <w:tc>
          <w:tcPr>
            <w:tcW w:w="1250" w:type="pct"/>
          </w:tcPr>
          <w:p w14:paraId="66CAE1FE" w14:textId="77777777" w:rsidR="001F2D64" w:rsidRPr="00781112" w:rsidRDefault="001F2D64" w:rsidP="00AC640E">
            <w:pPr>
              <w:jc w:val="center"/>
              <w:rPr>
                <w:rFonts w:cs="Arial"/>
                <w:color w:val="000000" w:themeColor="text1"/>
                <w:szCs w:val="16"/>
              </w:rPr>
            </w:pPr>
          </w:p>
        </w:tc>
        <w:tc>
          <w:tcPr>
            <w:tcW w:w="1250" w:type="pct"/>
          </w:tcPr>
          <w:p w14:paraId="104CBE32" w14:textId="77777777" w:rsidR="001F2D64" w:rsidRPr="00781112" w:rsidRDefault="001F2D64" w:rsidP="00AC640E">
            <w:pPr>
              <w:jc w:val="center"/>
              <w:rPr>
                <w:rFonts w:cs="Arial"/>
                <w:noProof/>
                <w:color w:val="000000" w:themeColor="text1"/>
                <w:szCs w:val="16"/>
              </w:rPr>
            </w:pPr>
          </w:p>
        </w:tc>
        <w:tc>
          <w:tcPr>
            <w:tcW w:w="1250" w:type="pct"/>
          </w:tcPr>
          <w:p w14:paraId="6B292D5F" w14:textId="77777777" w:rsidR="001F2D64" w:rsidRPr="00781112" w:rsidRDefault="001F2D64" w:rsidP="00AC640E">
            <w:pPr>
              <w:jc w:val="center"/>
              <w:rPr>
                <w:rFonts w:cs="Arial"/>
                <w:noProof/>
                <w:color w:val="000000" w:themeColor="text1"/>
                <w:szCs w:val="16"/>
              </w:rPr>
            </w:pPr>
          </w:p>
        </w:tc>
        <w:tc>
          <w:tcPr>
            <w:tcW w:w="1250" w:type="pct"/>
          </w:tcPr>
          <w:p w14:paraId="25BE91F8" w14:textId="77777777" w:rsidR="001F2D64" w:rsidRPr="00781112" w:rsidRDefault="001F2D64" w:rsidP="00AC640E">
            <w:pPr>
              <w:jc w:val="center"/>
              <w:rPr>
                <w:rFonts w:cs="Arial"/>
                <w:noProof/>
                <w:color w:val="000000" w:themeColor="text1"/>
                <w:szCs w:val="16"/>
              </w:rPr>
            </w:pPr>
          </w:p>
        </w:tc>
      </w:tr>
      <w:tr w:rsidR="001F2D64" w:rsidRPr="00781112" w14:paraId="0F80124E" w14:textId="77777777" w:rsidTr="00D663A6">
        <w:tc>
          <w:tcPr>
            <w:tcW w:w="1250" w:type="pct"/>
          </w:tcPr>
          <w:p w14:paraId="69CB65E5" w14:textId="77777777" w:rsidR="001F2D64" w:rsidRPr="00781112" w:rsidRDefault="001F2D64" w:rsidP="00AC640E">
            <w:pPr>
              <w:jc w:val="center"/>
              <w:rPr>
                <w:rFonts w:cs="Arial"/>
                <w:color w:val="000000" w:themeColor="text1"/>
                <w:szCs w:val="16"/>
              </w:rPr>
            </w:pPr>
          </w:p>
        </w:tc>
        <w:tc>
          <w:tcPr>
            <w:tcW w:w="1250" w:type="pct"/>
          </w:tcPr>
          <w:p w14:paraId="3B10DFED" w14:textId="77777777" w:rsidR="001F2D64" w:rsidRPr="00781112" w:rsidRDefault="001F2D64" w:rsidP="00AC640E">
            <w:pPr>
              <w:jc w:val="center"/>
              <w:rPr>
                <w:rFonts w:cs="Arial"/>
                <w:noProof/>
                <w:color w:val="000000" w:themeColor="text1"/>
                <w:szCs w:val="16"/>
              </w:rPr>
            </w:pPr>
          </w:p>
        </w:tc>
        <w:tc>
          <w:tcPr>
            <w:tcW w:w="1250" w:type="pct"/>
          </w:tcPr>
          <w:p w14:paraId="116B69DB" w14:textId="77777777" w:rsidR="001F2D64" w:rsidRPr="00781112" w:rsidRDefault="001F2D64" w:rsidP="00AC640E">
            <w:pPr>
              <w:jc w:val="center"/>
              <w:rPr>
                <w:rFonts w:cs="Arial"/>
                <w:noProof/>
                <w:color w:val="000000" w:themeColor="text1"/>
                <w:szCs w:val="16"/>
              </w:rPr>
            </w:pPr>
          </w:p>
        </w:tc>
        <w:tc>
          <w:tcPr>
            <w:tcW w:w="1250" w:type="pct"/>
          </w:tcPr>
          <w:p w14:paraId="60C8B978" w14:textId="77777777" w:rsidR="001F2D64" w:rsidRPr="00781112" w:rsidRDefault="001F2D64" w:rsidP="00AC640E">
            <w:pPr>
              <w:jc w:val="center"/>
              <w:rPr>
                <w:rFonts w:cs="Arial"/>
                <w:noProof/>
                <w:color w:val="000000" w:themeColor="text1"/>
                <w:szCs w:val="16"/>
              </w:rPr>
            </w:pPr>
          </w:p>
        </w:tc>
      </w:tr>
      <w:tr w:rsidR="001F2D64" w:rsidRPr="00781112" w14:paraId="36F292F2" w14:textId="77777777" w:rsidTr="00D663A6">
        <w:tc>
          <w:tcPr>
            <w:tcW w:w="1250" w:type="pct"/>
          </w:tcPr>
          <w:p w14:paraId="3F4AE86B" w14:textId="77777777" w:rsidR="001F2D64" w:rsidRPr="00781112" w:rsidRDefault="001F2D64" w:rsidP="00AC640E">
            <w:pPr>
              <w:jc w:val="center"/>
              <w:rPr>
                <w:rFonts w:cs="Arial"/>
                <w:color w:val="000000" w:themeColor="text1"/>
                <w:szCs w:val="16"/>
              </w:rPr>
            </w:pPr>
          </w:p>
        </w:tc>
        <w:tc>
          <w:tcPr>
            <w:tcW w:w="1250" w:type="pct"/>
          </w:tcPr>
          <w:p w14:paraId="37C31F8C" w14:textId="77777777" w:rsidR="001F2D64" w:rsidRPr="00781112" w:rsidRDefault="001F2D64" w:rsidP="00AC640E">
            <w:pPr>
              <w:jc w:val="center"/>
              <w:rPr>
                <w:rFonts w:cs="Arial"/>
                <w:color w:val="000000" w:themeColor="text1"/>
                <w:szCs w:val="16"/>
              </w:rPr>
            </w:pPr>
          </w:p>
        </w:tc>
        <w:tc>
          <w:tcPr>
            <w:tcW w:w="1250" w:type="pct"/>
          </w:tcPr>
          <w:p w14:paraId="539E0D0F" w14:textId="77777777" w:rsidR="001F2D64" w:rsidRPr="00781112" w:rsidRDefault="001F2D64" w:rsidP="00AC640E">
            <w:pPr>
              <w:jc w:val="center"/>
              <w:rPr>
                <w:rFonts w:cs="Arial"/>
                <w:color w:val="000000" w:themeColor="text1"/>
                <w:szCs w:val="16"/>
              </w:rPr>
            </w:pPr>
          </w:p>
        </w:tc>
        <w:tc>
          <w:tcPr>
            <w:tcW w:w="1250" w:type="pct"/>
          </w:tcPr>
          <w:p w14:paraId="7167D210" w14:textId="77777777" w:rsidR="001F2D64" w:rsidRPr="00781112" w:rsidRDefault="001F2D64" w:rsidP="00AC640E">
            <w:pPr>
              <w:jc w:val="center"/>
              <w:rPr>
                <w:rFonts w:cs="Arial"/>
                <w:color w:val="000000" w:themeColor="text1"/>
                <w:szCs w:val="16"/>
              </w:rPr>
            </w:pPr>
          </w:p>
        </w:tc>
      </w:tr>
      <w:tr w:rsidR="001F2D64" w:rsidRPr="00781112" w14:paraId="67A74860" w14:textId="77777777" w:rsidTr="00D663A6">
        <w:tc>
          <w:tcPr>
            <w:tcW w:w="1250" w:type="pct"/>
          </w:tcPr>
          <w:p w14:paraId="12FC0D62" w14:textId="77777777" w:rsidR="001F2D64" w:rsidRPr="00781112" w:rsidRDefault="001F2D64" w:rsidP="00AC640E">
            <w:pPr>
              <w:jc w:val="center"/>
              <w:rPr>
                <w:rFonts w:cs="Arial"/>
                <w:color w:val="000000" w:themeColor="text1"/>
                <w:szCs w:val="16"/>
              </w:rPr>
            </w:pPr>
          </w:p>
        </w:tc>
        <w:tc>
          <w:tcPr>
            <w:tcW w:w="1250" w:type="pct"/>
          </w:tcPr>
          <w:p w14:paraId="6A9A164E" w14:textId="77777777" w:rsidR="001F2D64" w:rsidRPr="00781112" w:rsidRDefault="001F2D64" w:rsidP="00AC640E">
            <w:pPr>
              <w:jc w:val="center"/>
              <w:rPr>
                <w:rFonts w:cs="Arial"/>
                <w:color w:val="000000" w:themeColor="text1"/>
                <w:szCs w:val="16"/>
              </w:rPr>
            </w:pPr>
          </w:p>
        </w:tc>
        <w:tc>
          <w:tcPr>
            <w:tcW w:w="1250" w:type="pct"/>
          </w:tcPr>
          <w:p w14:paraId="3456A6E6" w14:textId="77777777" w:rsidR="001F2D64" w:rsidRPr="00781112" w:rsidRDefault="001F2D64" w:rsidP="00AC640E">
            <w:pPr>
              <w:jc w:val="center"/>
              <w:rPr>
                <w:rFonts w:cs="Arial"/>
                <w:color w:val="000000" w:themeColor="text1"/>
                <w:szCs w:val="16"/>
              </w:rPr>
            </w:pPr>
          </w:p>
        </w:tc>
        <w:tc>
          <w:tcPr>
            <w:tcW w:w="1250" w:type="pct"/>
          </w:tcPr>
          <w:p w14:paraId="7B4D82FE" w14:textId="77777777" w:rsidR="001F2D64" w:rsidRPr="00781112" w:rsidRDefault="001F2D64" w:rsidP="00AC640E">
            <w:pPr>
              <w:jc w:val="center"/>
              <w:rPr>
                <w:rFonts w:cs="Arial"/>
                <w:color w:val="000000" w:themeColor="text1"/>
                <w:szCs w:val="16"/>
              </w:rPr>
            </w:pPr>
          </w:p>
        </w:tc>
      </w:tr>
    </w:tbl>
    <w:p w14:paraId="17907FB1" w14:textId="77777777" w:rsidR="009324C0" w:rsidRDefault="009324C0" w:rsidP="00DE79BF">
      <w:pPr>
        <w:rPr>
          <w:rFonts w:cs="Arial"/>
          <w:color w:val="000000" w:themeColor="text1"/>
          <w:szCs w:val="16"/>
        </w:rPr>
      </w:pPr>
    </w:p>
    <w:p w14:paraId="1D7F6399" w14:textId="77777777" w:rsidR="009324C0" w:rsidRPr="00A40EE1" w:rsidRDefault="009324C0" w:rsidP="009324C0">
      <w:pPr>
        <w:pStyle w:val="Heading2"/>
      </w:pPr>
      <w:r w:rsidRPr="00A40EE1">
        <w:t>1</w:t>
      </w:r>
      <w:r>
        <w:t>2</w:t>
      </w:r>
      <w:r w:rsidRPr="00A40EE1">
        <w:t xml:space="preserve"> - </w:t>
      </w:r>
      <w:r w:rsidRPr="00A10714">
        <w:t>Prior FFY Required Actions</w:t>
      </w:r>
    </w:p>
    <w:p w14:paraId="3B1CA432" w14:textId="77777777" w:rsidR="009324C0" w:rsidRPr="00E856ED" w:rsidRDefault="009324C0" w:rsidP="009324C0">
      <w:r w:rsidRPr="00E856ED">
        <w:t>None</w:t>
      </w:r>
    </w:p>
    <w:p w14:paraId="54D3F42B" w14:textId="77777777" w:rsidR="009324C0" w:rsidRPr="006E4396" w:rsidRDefault="009324C0" w:rsidP="00DE79BF">
      <w:pPr>
        <w:rPr>
          <w:rFonts w:cs="Arial"/>
          <w:color w:val="000000" w:themeColor="text1"/>
          <w:szCs w:val="16"/>
        </w:rPr>
      </w:pPr>
    </w:p>
    <w:p w14:paraId="624B05F0" w14:textId="77777777" w:rsidR="00DE12DF" w:rsidRPr="00A40EE1" w:rsidRDefault="33129DF2" w:rsidP="00DE12DF">
      <w:pPr>
        <w:pStyle w:val="Heading2"/>
      </w:pPr>
      <w:r>
        <w:t>12 - OSEP Response</w:t>
      </w:r>
    </w:p>
    <w:p w14:paraId="732FACBD" w14:textId="77777777" w:rsidR="00DE12DF" w:rsidRPr="00ED172B" w:rsidRDefault="00DE12DF" w:rsidP="00DE12DF">
      <w:pPr>
        <w:rPr>
          <w:color w:val="000000" w:themeColor="text1"/>
        </w:rPr>
      </w:pPr>
      <w:r w:rsidRPr="00ED172B">
        <w:rPr>
          <w:color w:val="000000" w:themeColor="text1"/>
        </w:rPr>
        <w:t xml:space="preserve">OSEP notes that the State reported no written findings of noncompliance were issued in FFY 2023 because it corrected the noncompliance prior to the issuance of findings. This indicator measures the </w:t>
      </w:r>
      <w:proofErr w:type="gramStart"/>
      <w:r w:rsidRPr="00ED172B">
        <w:rPr>
          <w:color w:val="000000" w:themeColor="text1"/>
        </w:rPr>
        <w:t>percent</w:t>
      </w:r>
      <w:proofErr w:type="gramEnd"/>
      <w:r w:rsidRPr="00ED172B">
        <w:rPr>
          <w:color w:val="000000" w:themeColor="text1"/>
        </w:rPr>
        <w:t xml:space="preserve"> of findings of noncompliance corrected within one year of identification. Please note OSEP's response under Indicators 1, 7, and 8b regarding whether the State ensured correction of noncompliance identified in FFY 2023, consistent with OSEP QA 23-01.</w:t>
      </w:r>
    </w:p>
    <w:p w14:paraId="0702C5BA" w14:textId="77777777" w:rsidR="00DE12DF" w:rsidRPr="00A40EE1" w:rsidRDefault="00DE12DF" w:rsidP="00DE12DF">
      <w:pPr>
        <w:pStyle w:val="Heading2"/>
      </w:pPr>
      <w:r>
        <w:t>12</w:t>
      </w:r>
      <w:r w:rsidRPr="00A40EE1">
        <w:t xml:space="preserve"> - Required Actions</w:t>
      </w:r>
    </w:p>
    <w:p w14:paraId="106815D0" w14:textId="77777777" w:rsidR="00DE12DF" w:rsidRPr="00ED172B" w:rsidRDefault="00DE12DF" w:rsidP="00DE12DF">
      <w:pPr>
        <w:rPr>
          <w:color w:val="000000" w:themeColor="text1"/>
        </w:rPr>
      </w:pPr>
    </w:p>
    <w:p w14:paraId="04198A9B" w14:textId="77777777" w:rsidR="00E74450" w:rsidRDefault="00530511">
      <w:pPr>
        <w:spacing w:before="0" w:after="200" w:line="276" w:lineRule="auto"/>
        <w:rPr>
          <w:color w:val="000000" w:themeColor="text1"/>
        </w:rPr>
        <w:sectPr w:rsidR="00E74450" w:rsidSect="00BF3AB4">
          <w:footerReference w:type="default" r:id="rId13"/>
          <w:pgSz w:w="12240" w:h="15840"/>
          <w:pgMar w:top="720" w:right="720" w:bottom="720" w:left="720" w:header="0" w:footer="445" w:gutter="0"/>
          <w:cols w:space="720"/>
          <w:docGrid w:linePitch="218"/>
        </w:sectPr>
      </w:pPr>
      <w:r>
        <w:rPr>
          <w:color w:val="000000" w:themeColor="text1"/>
        </w:rPr>
        <w:br w:type="page"/>
      </w:r>
    </w:p>
    <w:p w14:paraId="62E71F11" w14:textId="77777777" w:rsidR="00D77E41" w:rsidRPr="00ED172B" w:rsidRDefault="00D77E41" w:rsidP="00D77E41">
      <w:pPr>
        <w:pStyle w:val="Heading1"/>
        <w:rPr>
          <w:color w:val="000000" w:themeColor="text1"/>
        </w:rPr>
      </w:pPr>
      <w:r w:rsidRPr="00ED172B">
        <w:rPr>
          <w:color w:val="000000" w:themeColor="text1"/>
        </w:rPr>
        <w:t>Certification</w:t>
      </w:r>
    </w:p>
    <w:p w14:paraId="579FC94F" w14:textId="77777777" w:rsidR="00D77E41" w:rsidRPr="00ED172B" w:rsidRDefault="00D77E41" w:rsidP="00186420">
      <w:pPr>
        <w:rPr>
          <w:color w:val="000000" w:themeColor="text1"/>
        </w:rPr>
      </w:pPr>
      <w:r w:rsidRPr="00ED172B">
        <w:rPr>
          <w:b/>
          <w:color w:val="000000" w:themeColor="text1"/>
          <w:sz w:val="20"/>
          <w:szCs w:val="20"/>
        </w:rPr>
        <w:t>Instructions</w:t>
      </w:r>
    </w:p>
    <w:p w14:paraId="27FAB863" w14:textId="77777777"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58807BE4" w14:textId="77777777" w:rsidR="00D77E41" w:rsidRPr="00ED172B" w:rsidRDefault="00D77E41" w:rsidP="00D77E41">
      <w:pPr>
        <w:rPr>
          <w:b/>
          <w:color w:val="000000" w:themeColor="text1"/>
        </w:rPr>
      </w:pPr>
      <w:r w:rsidRPr="00ED172B">
        <w:rPr>
          <w:b/>
          <w:color w:val="000000" w:themeColor="text1"/>
        </w:rPr>
        <w:t>Certify</w:t>
      </w:r>
    </w:p>
    <w:p w14:paraId="541DB012"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11F87F01"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052D0263" w14:textId="77777777"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Designated by the Lead Agency Director to Certify</w:t>
      </w:r>
    </w:p>
    <w:p w14:paraId="2AC14C35" w14:textId="77777777"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54956897"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02DA52CF"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 xml:space="preserve">Shannon </w:t>
      </w:r>
      <w:proofErr w:type="spellStart"/>
      <w:r w:rsidRPr="00ED172B">
        <w:rPr>
          <w:rFonts w:cs="Arial"/>
          <w:bCs/>
          <w:color w:val="000000" w:themeColor="text1"/>
          <w:szCs w:val="16"/>
        </w:rPr>
        <w:t>Pargin</w:t>
      </w:r>
      <w:proofErr w:type="spellEnd"/>
    </w:p>
    <w:p w14:paraId="0CA77C89"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10614321"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Director of IDEA Implementation</w:t>
      </w:r>
    </w:p>
    <w:p w14:paraId="7E590BA9"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39215CAD" w14:textId="77777777"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lastRenderedPageBreak/>
        <w:t>Shannon.Pargin@tn.gov</w:t>
      </w:r>
    </w:p>
    <w:p w14:paraId="4FED27E5"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58206E3B" w14:textId="77777777"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615-924-1007</w:t>
      </w:r>
      <w:bookmarkEnd w:id="62"/>
    </w:p>
    <w:p w14:paraId="6F31B8CE" w14:textId="77777777"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618B9BD6" w14:textId="77777777" w:rsidR="00E74450" w:rsidRDefault="00FD047C" w:rsidP="00FD047C">
      <w:pPr>
        <w:autoSpaceDE w:val="0"/>
        <w:autoSpaceDN w:val="0"/>
        <w:adjustRightInd w:val="0"/>
        <w:rPr>
          <w:rFonts w:cs="Arial"/>
          <w:bCs/>
          <w:color w:val="000000" w:themeColor="text1"/>
          <w:szCs w:val="16"/>
        </w:rPr>
        <w:sectPr w:rsidR="00E74450" w:rsidSect="00E74450">
          <w:type w:val="continuous"/>
          <w:pgSz w:w="12240" w:h="15840"/>
          <w:pgMar w:top="720" w:right="720" w:bottom="720" w:left="720" w:header="0" w:footer="445" w:gutter="0"/>
          <w:cols w:space="720"/>
          <w:docGrid w:linePitch="218"/>
        </w:sectPr>
      </w:pPr>
      <w:r w:rsidRPr="00ED172B">
        <w:rPr>
          <w:rFonts w:cs="Arial"/>
          <w:bCs/>
          <w:color w:val="000000" w:themeColor="text1"/>
          <w:szCs w:val="16"/>
        </w:rPr>
        <w:t>04/21/</w:t>
      </w:r>
      <w:proofErr w:type="gramStart"/>
      <w:r w:rsidRPr="00ED172B">
        <w:rPr>
          <w:rFonts w:cs="Arial"/>
          <w:bCs/>
          <w:color w:val="000000" w:themeColor="text1"/>
          <w:szCs w:val="16"/>
        </w:rPr>
        <w:t>26  4:33:01</w:t>
      </w:r>
      <w:proofErr w:type="gramEnd"/>
      <w:r w:rsidRPr="00ED172B">
        <w:rPr>
          <w:rFonts w:cs="Arial"/>
          <w:bCs/>
          <w:color w:val="000000" w:themeColor="text1"/>
          <w:szCs w:val="16"/>
        </w:rPr>
        <w:t xml:space="preserve"> PM</w:t>
      </w:r>
    </w:p>
    <w:p w14:paraId="43E65B40" w14:textId="77777777"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77477F69" w14:textId="77777777" w:rsidR="000135C2" w:rsidRDefault="000135C2" w:rsidP="000135C2">
      <w:pPr>
        <w:pStyle w:val="Heading1"/>
        <w:rPr>
          <w:color w:val="000000" w:themeColor="text1"/>
        </w:rPr>
      </w:pPr>
      <w:r w:rsidRPr="000135C2">
        <w:rPr>
          <w:color w:val="000000" w:themeColor="text1"/>
        </w:rPr>
        <w:lastRenderedPageBreak/>
        <w:t>Determination Enclosures</w:t>
      </w:r>
    </w:p>
    <w:p w14:paraId="0CEFE532" w14:textId="77777777" w:rsidR="000135C2" w:rsidRDefault="000135C2" w:rsidP="000135C2">
      <w:pPr>
        <w:pStyle w:val="Heading2"/>
      </w:pPr>
      <w:r w:rsidRPr="003E43D9">
        <w:t>Data Rubric</w:t>
      </w:r>
    </w:p>
    <w:p w14:paraId="6A3860FD" w14:textId="77777777" w:rsidR="000D7F9F" w:rsidRPr="000D7F9F" w:rsidRDefault="000D7F9F" w:rsidP="000D7F9F">
      <w:pPr>
        <w:rPr>
          <w:b/>
          <w:bCs/>
          <w:sz w:val="18"/>
          <w:szCs w:val="18"/>
        </w:rPr>
      </w:pPr>
      <w:r w:rsidRPr="000D7F9F">
        <w:rPr>
          <w:b/>
          <w:bCs/>
          <w:sz w:val="18"/>
          <w:szCs w:val="18"/>
        </w:rPr>
        <w:t>Tennessee</w:t>
      </w:r>
    </w:p>
    <w:p w14:paraId="0FEDC219" w14:textId="77777777" w:rsidR="00BB2AAF" w:rsidRDefault="00BB2AAF" w:rsidP="00976350">
      <w:pPr>
        <w:rPr>
          <w:b/>
          <w:bCs/>
        </w:rPr>
      </w:pPr>
    </w:p>
    <w:p w14:paraId="2F3BFA0C" w14:textId="77777777" w:rsidR="00DC6D97" w:rsidRPr="004227F4" w:rsidRDefault="003445A2" w:rsidP="00976350">
      <w:pPr>
        <w:rPr>
          <w:b/>
          <w:bCs/>
          <w:szCs w:val="16"/>
        </w:rPr>
      </w:pPr>
      <w:r w:rsidRPr="006B69D7">
        <w:rPr>
          <w:b/>
          <w:bCs/>
        </w:rPr>
        <w:t>FFY 2024</w:t>
      </w:r>
      <w:r w:rsidRPr="004227F4">
        <w:rPr>
          <w:b/>
          <w:bCs/>
          <w:szCs w:val="16"/>
        </w:rPr>
        <w:t xml:space="preserve"> APR</w:t>
      </w:r>
      <w:r w:rsidR="009D31F8" w:rsidRPr="004227F4">
        <w:rPr>
          <w:b/>
          <w:bCs/>
          <w:szCs w:val="16"/>
        </w:rPr>
        <w:t xml:space="preserve"> </w:t>
      </w:r>
      <w:r w:rsidR="004227F4" w:rsidRPr="004227F4">
        <w:rPr>
          <w:szCs w:val="16"/>
        </w:rPr>
        <w:t>(1)</w:t>
      </w:r>
    </w:p>
    <w:p w14:paraId="2AF46458" w14:textId="77777777" w:rsidR="00BB2AAF" w:rsidRPr="004227F4" w:rsidRDefault="004227F4" w:rsidP="005032AF">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19A8048E" w14:textId="77777777" w:rsidTr="005032AF">
        <w:trPr>
          <w:trHeight w:val="440"/>
        </w:trPr>
        <w:tc>
          <w:tcPr>
            <w:tcW w:w="1866" w:type="dxa"/>
            <w:vAlign w:val="center"/>
            <w:hideMark/>
          </w:tcPr>
          <w:p w14:paraId="7CBA5078"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12ADF6E5"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36E566DD"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75C68412" w14:textId="77777777" w:rsidTr="005032AF">
        <w:trPr>
          <w:trHeight w:val="440"/>
        </w:trPr>
        <w:tc>
          <w:tcPr>
            <w:tcW w:w="1866" w:type="dxa"/>
            <w:vAlign w:val="center"/>
            <w:hideMark/>
          </w:tcPr>
          <w:p w14:paraId="5DC36E03" w14:textId="77777777"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vAlign w:val="center"/>
            <w:hideMark/>
          </w:tcPr>
          <w:p w14:paraId="2D604C4C"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25BC5F7" w14:textId="77777777" w:rsidR="00CC21DE" w:rsidRPr="00210AC6" w:rsidRDefault="00CC21DE" w:rsidP="00A47616">
            <w:pPr>
              <w:spacing w:before="0" w:after="0"/>
              <w:jc w:val="center"/>
              <w:rPr>
                <w:rFonts w:eastAsia="Times New Roman" w:cs="Arial"/>
                <w:szCs w:val="16"/>
              </w:rPr>
            </w:pPr>
            <w:r>
              <w:t>1</w:t>
            </w:r>
          </w:p>
        </w:tc>
      </w:tr>
      <w:tr w:rsidR="00CC21DE" w:rsidRPr="00210AC6" w14:paraId="45A92EAF" w14:textId="77777777" w:rsidTr="005032AF">
        <w:trPr>
          <w:trHeight w:val="440"/>
        </w:trPr>
        <w:tc>
          <w:tcPr>
            <w:tcW w:w="1866" w:type="dxa"/>
            <w:vAlign w:val="center"/>
            <w:hideMark/>
          </w:tcPr>
          <w:p w14:paraId="5BC5A398" w14:textId="77777777"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vAlign w:val="center"/>
            <w:hideMark/>
          </w:tcPr>
          <w:p w14:paraId="4821DE34"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6563E84" w14:textId="77777777" w:rsidR="00CC21DE" w:rsidRPr="00210AC6" w:rsidRDefault="00CC21DE" w:rsidP="00A47616">
            <w:pPr>
              <w:spacing w:before="0" w:after="0"/>
              <w:jc w:val="center"/>
              <w:rPr>
                <w:rFonts w:eastAsia="Times New Roman" w:cs="Arial"/>
                <w:szCs w:val="16"/>
              </w:rPr>
            </w:pPr>
            <w:r>
              <w:t>1</w:t>
            </w:r>
          </w:p>
        </w:tc>
      </w:tr>
      <w:tr w:rsidR="00CC21DE" w:rsidRPr="00210AC6" w14:paraId="571DDE60" w14:textId="77777777" w:rsidTr="005032AF">
        <w:trPr>
          <w:trHeight w:val="440"/>
        </w:trPr>
        <w:tc>
          <w:tcPr>
            <w:tcW w:w="1866" w:type="dxa"/>
            <w:vAlign w:val="center"/>
            <w:hideMark/>
          </w:tcPr>
          <w:p w14:paraId="0670DC86" w14:textId="77777777"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vAlign w:val="center"/>
            <w:hideMark/>
          </w:tcPr>
          <w:p w14:paraId="32C8B834"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94F6D38" w14:textId="77777777" w:rsidR="00CC21DE" w:rsidRPr="00210AC6" w:rsidRDefault="00CC21DE" w:rsidP="00A47616">
            <w:pPr>
              <w:spacing w:before="0" w:after="0"/>
              <w:jc w:val="center"/>
              <w:rPr>
                <w:rFonts w:eastAsia="Times New Roman" w:cs="Arial"/>
                <w:szCs w:val="16"/>
              </w:rPr>
            </w:pPr>
            <w:r>
              <w:t>1</w:t>
            </w:r>
          </w:p>
        </w:tc>
      </w:tr>
      <w:tr w:rsidR="00CC21DE" w:rsidRPr="00210AC6" w14:paraId="22F5A87F" w14:textId="77777777" w:rsidTr="005032AF">
        <w:trPr>
          <w:trHeight w:val="440"/>
        </w:trPr>
        <w:tc>
          <w:tcPr>
            <w:tcW w:w="1866" w:type="dxa"/>
            <w:vAlign w:val="center"/>
            <w:hideMark/>
          </w:tcPr>
          <w:p w14:paraId="2FE8EB55" w14:textId="77777777"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vAlign w:val="center"/>
            <w:hideMark/>
          </w:tcPr>
          <w:p w14:paraId="1598E948"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63A3AFC" w14:textId="77777777" w:rsidR="00CC21DE" w:rsidRPr="00210AC6" w:rsidRDefault="00CC21DE" w:rsidP="00A47616">
            <w:pPr>
              <w:spacing w:before="0" w:after="0"/>
              <w:jc w:val="center"/>
              <w:rPr>
                <w:rFonts w:eastAsia="Times New Roman" w:cs="Arial"/>
                <w:szCs w:val="16"/>
              </w:rPr>
            </w:pPr>
            <w:r>
              <w:t>1</w:t>
            </w:r>
          </w:p>
        </w:tc>
      </w:tr>
      <w:tr w:rsidR="00CC21DE" w:rsidRPr="00210AC6" w14:paraId="088BED94" w14:textId="77777777" w:rsidTr="005032AF">
        <w:trPr>
          <w:trHeight w:val="440"/>
        </w:trPr>
        <w:tc>
          <w:tcPr>
            <w:tcW w:w="1866" w:type="dxa"/>
            <w:vAlign w:val="center"/>
            <w:hideMark/>
          </w:tcPr>
          <w:p w14:paraId="454DC689" w14:textId="7777777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vAlign w:val="center"/>
            <w:hideMark/>
          </w:tcPr>
          <w:p w14:paraId="53C64AAA"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92B2DE0" w14:textId="77777777" w:rsidR="00CC21DE" w:rsidRPr="00210AC6" w:rsidRDefault="00CC21DE" w:rsidP="00A47616">
            <w:pPr>
              <w:spacing w:before="0" w:after="0"/>
              <w:jc w:val="center"/>
              <w:rPr>
                <w:rFonts w:eastAsia="Times New Roman" w:cs="Arial"/>
                <w:szCs w:val="16"/>
              </w:rPr>
            </w:pPr>
            <w:r>
              <w:t>1</w:t>
            </w:r>
          </w:p>
        </w:tc>
      </w:tr>
      <w:tr w:rsidR="00CC21DE" w:rsidRPr="00210AC6" w14:paraId="6EE4144D" w14:textId="77777777" w:rsidTr="005032AF">
        <w:trPr>
          <w:trHeight w:val="440"/>
        </w:trPr>
        <w:tc>
          <w:tcPr>
            <w:tcW w:w="1866" w:type="dxa"/>
            <w:vAlign w:val="center"/>
            <w:hideMark/>
          </w:tcPr>
          <w:p w14:paraId="7B25FC56" w14:textId="77777777"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vAlign w:val="center"/>
            <w:hideMark/>
          </w:tcPr>
          <w:p w14:paraId="7B4E6A92"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A5B62A5" w14:textId="77777777" w:rsidR="00CC21DE" w:rsidRPr="00210AC6" w:rsidRDefault="00CC21DE" w:rsidP="00A47616">
            <w:pPr>
              <w:spacing w:before="0" w:after="0"/>
              <w:jc w:val="center"/>
              <w:rPr>
                <w:rFonts w:eastAsia="Times New Roman" w:cs="Arial"/>
                <w:szCs w:val="16"/>
              </w:rPr>
            </w:pPr>
            <w:r>
              <w:t>1</w:t>
            </w:r>
          </w:p>
        </w:tc>
      </w:tr>
      <w:tr w:rsidR="00CC21DE" w:rsidRPr="00210AC6" w14:paraId="62F7F173" w14:textId="77777777" w:rsidTr="005032AF">
        <w:trPr>
          <w:trHeight w:val="440"/>
        </w:trPr>
        <w:tc>
          <w:tcPr>
            <w:tcW w:w="1866" w:type="dxa"/>
            <w:vAlign w:val="center"/>
            <w:hideMark/>
          </w:tcPr>
          <w:p w14:paraId="3EEBCF4D" w14:textId="77777777"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vAlign w:val="center"/>
            <w:hideMark/>
          </w:tcPr>
          <w:p w14:paraId="777C843A"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EE99B4E" w14:textId="77777777" w:rsidR="00CC21DE" w:rsidRPr="00210AC6" w:rsidRDefault="00CC21DE" w:rsidP="00A47616">
            <w:pPr>
              <w:spacing w:before="0" w:after="0"/>
              <w:jc w:val="center"/>
              <w:rPr>
                <w:rFonts w:eastAsia="Times New Roman" w:cs="Arial"/>
                <w:szCs w:val="16"/>
              </w:rPr>
            </w:pPr>
            <w:r>
              <w:t>1</w:t>
            </w:r>
          </w:p>
        </w:tc>
      </w:tr>
      <w:tr w:rsidR="00CC21DE" w:rsidRPr="00210AC6" w14:paraId="000A9B33" w14:textId="77777777" w:rsidTr="005032AF">
        <w:trPr>
          <w:trHeight w:val="440"/>
        </w:trPr>
        <w:tc>
          <w:tcPr>
            <w:tcW w:w="1866" w:type="dxa"/>
            <w:vAlign w:val="center"/>
            <w:hideMark/>
          </w:tcPr>
          <w:p w14:paraId="5CF6BB31" w14:textId="77777777"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vAlign w:val="center"/>
            <w:hideMark/>
          </w:tcPr>
          <w:p w14:paraId="00782EA8"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DA28D12" w14:textId="77777777" w:rsidR="00CC21DE" w:rsidRPr="00210AC6" w:rsidRDefault="00CC21DE" w:rsidP="00A47616">
            <w:pPr>
              <w:spacing w:before="0" w:after="0"/>
              <w:jc w:val="center"/>
              <w:rPr>
                <w:rFonts w:eastAsia="Times New Roman" w:cs="Arial"/>
                <w:szCs w:val="16"/>
              </w:rPr>
            </w:pPr>
            <w:r>
              <w:t>1</w:t>
            </w:r>
          </w:p>
        </w:tc>
      </w:tr>
      <w:tr w:rsidR="00CC21DE" w:rsidRPr="00210AC6" w14:paraId="1BBD14D9" w14:textId="77777777" w:rsidTr="005032AF">
        <w:trPr>
          <w:trHeight w:val="440"/>
        </w:trPr>
        <w:tc>
          <w:tcPr>
            <w:tcW w:w="1866" w:type="dxa"/>
            <w:vAlign w:val="center"/>
            <w:hideMark/>
          </w:tcPr>
          <w:p w14:paraId="31F0A039" w14:textId="77777777"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vAlign w:val="center"/>
            <w:hideMark/>
          </w:tcPr>
          <w:p w14:paraId="773F7EBD"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9EE0831" w14:textId="77777777" w:rsidR="00CC21DE" w:rsidRPr="00210AC6" w:rsidRDefault="00CC21DE" w:rsidP="00A47616">
            <w:pPr>
              <w:spacing w:before="0" w:after="0"/>
              <w:jc w:val="center"/>
              <w:rPr>
                <w:rFonts w:eastAsia="Times New Roman" w:cs="Arial"/>
                <w:szCs w:val="16"/>
              </w:rPr>
            </w:pPr>
            <w:r>
              <w:t>1</w:t>
            </w:r>
          </w:p>
        </w:tc>
      </w:tr>
      <w:tr w:rsidR="00CC21DE" w:rsidRPr="00210AC6" w14:paraId="195161FA" w14:textId="77777777" w:rsidTr="005032AF">
        <w:trPr>
          <w:trHeight w:val="440"/>
        </w:trPr>
        <w:tc>
          <w:tcPr>
            <w:tcW w:w="1866" w:type="dxa"/>
            <w:vAlign w:val="center"/>
            <w:hideMark/>
          </w:tcPr>
          <w:p w14:paraId="3FD58287" w14:textId="77777777"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vAlign w:val="center"/>
            <w:hideMark/>
          </w:tcPr>
          <w:p w14:paraId="7CFD49A2"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BFECED4" w14:textId="77777777" w:rsidR="00CC21DE" w:rsidRPr="00210AC6" w:rsidRDefault="00CC21DE" w:rsidP="00A47616">
            <w:pPr>
              <w:spacing w:before="0" w:after="0"/>
              <w:jc w:val="center"/>
              <w:rPr>
                <w:rFonts w:eastAsia="Times New Roman" w:cs="Arial"/>
                <w:szCs w:val="16"/>
              </w:rPr>
            </w:pPr>
            <w:r>
              <w:t>1</w:t>
            </w:r>
          </w:p>
        </w:tc>
      </w:tr>
      <w:tr w:rsidR="00CC21DE" w:rsidRPr="00210AC6" w14:paraId="1C64D182" w14:textId="77777777" w:rsidTr="005032AF">
        <w:trPr>
          <w:trHeight w:val="440"/>
        </w:trPr>
        <w:tc>
          <w:tcPr>
            <w:tcW w:w="1866" w:type="dxa"/>
            <w:vAlign w:val="center"/>
            <w:hideMark/>
          </w:tcPr>
          <w:p w14:paraId="622867D2" w14:textId="77777777"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vAlign w:val="center"/>
            <w:hideMark/>
          </w:tcPr>
          <w:p w14:paraId="4323BF60"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4D71A8C8" w14:textId="77777777" w:rsidR="00CC21DE" w:rsidRPr="00210AC6" w:rsidRDefault="00CC21DE" w:rsidP="00A47616">
            <w:pPr>
              <w:spacing w:before="0" w:after="0"/>
              <w:jc w:val="center"/>
              <w:rPr>
                <w:rFonts w:eastAsia="Times New Roman" w:cs="Arial"/>
                <w:szCs w:val="16"/>
              </w:rPr>
            </w:pPr>
            <w:r>
              <w:t>1</w:t>
            </w:r>
          </w:p>
        </w:tc>
      </w:tr>
      <w:tr w:rsidR="00CC21DE" w:rsidRPr="00210AC6" w14:paraId="3E8ED51A" w14:textId="77777777" w:rsidTr="005032AF">
        <w:trPr>
          <w:trHeight w:val="440"/>
        </w:trPr>
        <w:tc>
          <w:tcPr>
            <w:tcW w:w="1866" w:type="dxa"/>
            <w:vAlign w:val="center"/>
            <w:hideMark/>
          </w:tcPr>
          <w:p w14:paraId="62C61B53" w14:textId="77777777"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vAlign w:val="center"/>
            <w:hideMark/>
          </w:tcPr>
          <w:p w14:paraId="65133AB5"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DC01FC0" w14:textId="77777777" w:rsidR="00CC21DE" w:rsidRPr="00210AC6" w:rsidRDefault="00CC21DE" w:rsidP="00A47616">
            <w:pPr>
              <w:spacing w:before="0" w:after="0"/>
              <w:jc w:val="center"/>
              <w:rPr>
                <w:rFonts w:eastAsia="Times New Roman" w:cs="Arial"/>
                <w:szCs w:val="16"/>
              </w:rPr>
            </w:pPr>
            <w:r>
              <w:t>1</w:t>
            </w:r>
          </w:p>
        </w:tc>
      </w:tr>
      <w:tr w:rsidR="00CC21DE" w:rsidRPr="00210AC6" w14:paraId="4D6E9E8E" w14:textId="77777777" w:rsidTr="005032AF">
        <w:trPr>
          <w:trHeight w:val="440"/>
        </w:trPr>
        <w:tc>
          <w:tcPr>
            <w:tcW w:w="1866" w:type="dxa"/>
            <w:vAlign w:val="center"/>
            <w:hideMark/>
          </w:tcPr>
          <w:p w14:paraId="089223CF" w14:textId="77777777"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vAlign w:val="center"/>
            <w:hideMark/>
          </w:tcPr>
          <w:p w14:paraId="69747C1C" w14:textId="77777777"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4CA3C0D" w14:textId="77777777" w:rsidR="00CC21DE" w:rsidRPr="00210AC6" w:rsidRDefault="00CC21DE" w:rsidP="00A47616">
            <w:pPr>
              <w:spacing w:before="0" w:after="0"/>
              <w:jc w:val="center"/>
              <w:rPr>
                <w:rFonts w:eastAsia="Times New Roman" w:cs="Arial"/>
                <w:szCs w:val="16"/>
              </w:rPr>
            </w:pPr>
            <w:r>
              <w:t>1</w:t>
            </w:r>
          </w:p>
        </w:tc>
      </w:tr>
      <w:tr w:rsidR="000F5FCD" w:rsidRPr="00210AC6" w14:paraId="434419C8" w14:textId="77777777" w:rsidTr="005032AF">
        <w:trPr>
          <w:trHeight w:val="440"/>
        </w:trPr>
        <w:tc>
          <w:tcPr>
            <w:tcW w:w="1866" w:type="dxa"/>
            <w:vAlign w:val="center"/>
          </w:tcPr>
          <w:p w14:paraId="27C593A4" w14:textId="77777777" w:rsidR="000F5FCD" w:rsidRPr="00CC21DE" w:rsidRDefault="000F5FCD" w:rsidP="00A47616">
            <w:pPr>
              <w:spacing w:before="0" w:after="0"/>
              <w:jc w:val="center"/>
              <w:rPr>
                <w:b/>
                <w:bCs/>
              </w:rPr>
            </w:pPr>
            <w:r>
              <w:rPr>
                <w:b/>
                <w:bCs/>
              </w:rPr>
              <w:t>12</w:t>
            </w:r>
          </w:p>
        </w:tc>
        <w:tc>
          <w:tcPr>
            <w:tcW w:w="5260" w:type="dxa"/>
            <w:vAlign w:val="center"/>
          </w:tcPr>
          <w:p w14:paraId="61BDBD30" w14:textId="77777777" w:rsidR="000F5FCD" w:rsidRDefault="000F5FCD" w:rsidP="00A47616">
            <w:pPr>
              <w:spacing w:before="0" w:after="0"/>
              <w:jc w:val="center"/>
            </w:pPr>
            <w:r>
              <w:t>1</w:t>
            </w:r>
          </w:p>
        </w:tc>
        <w:tc>
          <w:tcPr>
            <w:tcW w:w="2698" w:type="dxa"/>
            <w:vAlign w:val="center"/>
          </w:tcPr>
          <w:p w14:paraId="470FC6A2" w14:textId="77777777" w:rsidR="000F5FCD" w:rsidRDefault="000F5FCD" w:rsidP="00A47616">
            <w:pPr>
              <w:spacing w:before="0" w:after="0"/>
              <w:jc w:val="center"/>
            </w:pPr>
            <w:r>
              <w:t>1</w:t>
            </w:r>
          </w:p>
        </w:tc>
      </w:tr>
    </w:tbl>
    <w:p w14:paraId="269DDAD6" w14:textId="77777777" w:rsidR="00AA07A0" w:rsidRDefault="00AA07A0" w:rsidP="000135C2">
      <w:pPr>
        <w:rPr>
          <w:rFonts w:cs="Arial"/>
          <w:szCs w:val="16"/>
        </w:rPr>
      </w:pPr>
    </w:p>
    <w:p w14:paraId="10E0FAAB" w14:textId="77777777" w:rsidR="009D31F8" w:rsidRDefault="009D31F8" w:rsidP="000135C2">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009D31F8" w:rsidRPr="00210AC6" w14:paraId="66943905" w14:textId="77777777" w:rsidTr="009D31F8">
        <w:trPr>
          <w:trHeight w:val="440"/>
        </w:trPr>
        <w:tc>
          <w:tcPr>
            <w:tcW w:w="7105" w:type="dxa"/>
            <w:vAlign w:val="center"/>
            <w:hideMark/>
          </w:tcPr>
          <w:p w14:paraId="21FD2B12" w14:textId="77777777" w:rsidR="009D31F8" w:rsidRPr="00210AC6" w:rsidRDefault="009D31F8" w:rsidP="009D31F8">
            <w:pPr>
              <w:spacing w:before="0" w:after="0"/>
              <w:rPr>
                <w:rFonts w:eastAsia="Times New Roman" w:cs="Arial"/>
                <w:b/>
                <w:bCs/>
                <w:szCs w:val="16"/>
              </w:rPr>
            </w:pPr>
            <w:r>
              <w:rPr>
                <w:rFonts w:eastAsia="Times New Roman" w:cs="Arial"/>
                <w:b/>
                <w:bCs/>
                <w:szCs w:val="16"/>
              </w:rPr>
              <w:t>Subtotal</w:t>
            </w:r>
          </w:p>
        </w:tc>
        <w:tc>
          <w:tcPr>
            <w:tcW w:w="2700" w:type="dxa"/>
            <w:vAlign w:val="center"/>
            <w:hideMark/>
          </w:tcPr>
          <w:p w14:paraId="086A06D1" w14:textId="77777777" w:rsidR="009D31F8" w:rsidRPr="00210AC6" w:rsidRDefault="009D31F8">
            <w:pPr>
              <w:spacing w:before="0" w:after="0"/>
              <w:jc w:val="center"/>
              <w:rPr>
                <w:rFonts w:eastAsia="Times New Roman" w:cs="Arial"/>
                <w:szCs w:val="16"/>
              </w:rPr>
            </w:pPr>
            <w:r>
              <w:t>14</w:t>
            </w:r>
          </w:p>
        </w:tc>
      </w:tr>
      <w:tr w:rsidR="009D31F8" w:rsidRPr="00210AC6" w14:paraId="487B33D2" w14:textId="77777777" w:rsidTr="009D31F8">
        <w:trPr>
          <w:trHeight w:val="735"/>
        </w:trPr>
        <w:tc>
          <w:tcPr>
            <w:tcW w:w="7105" w:type="dxa"/>
            <w:vAlign w:val="center"/>
            <w:hideMark/>
          </w:tcPr>
          <w:p w14:paraId="5F5C5E64" w14:textId="77777777" w:rsidR="009D31F8" w:rsidRPr="00210AC6" w:rsidRDefault="009D31F8">
            <w:pPr>
              <w:spacing w:before="0" w:after="0"/>
              <w:rPr>
                <w:rFonts w:eastAsia="Times New Roman" w:cs="Arial"/>
                <w:b/>
                <w:bCs/>
                <w:szCs w:val="16"/>
              </w:rPr>
            </w:pPr>
            <w:r w:rsidRPr="00210AC6">
              <w:rPr>
                <w:rFonts w:eastAsia="Times New Roman" w:cs="Arial"/>
                <w:b/>
                <w:bCs/>
                <w:szCs w:val="16"/>
              </w:rPr>
              <w:t xml:space="preserve">Timely Submission Points </w:t>
            </w:r>
            <w:proofErr w:type="gramStart"/>
            <w:r w:rsidRPr="00210AC6">
              <w:rPr>
                <w:rFonts w:eastAsia="Times New Roman" w:cs="Arial"/>
                <w:szCs w:val="16"/>
              </w:rPr>
              <w:t>-  If</w:t>
            </w:r>
            <w:proofErr w:type="gramEnd"/>
            <w:r w:rsidRPr="00210AC6">
              <w:rPr>
                <w:rFonts w:eastAsia="Times New Roman" w:cs="Arial"/>
                <w:szCs w:val="16"/>
              </w:rPr>
              <w:t xml:space="preserve"> the FFY </w:t>
            </w:r>
            <w:r w:rsidR="00A54A87">
              <w:rPr>
                <w:rFonts w:eastAsia="Times New Roman" w:cs="Arial"/>
                <w:szCs w:val="16"/>
              </w:rPr>
              <w:t>2024</w:t>
            </w:r>
            <w:r w:rsidRPr="00210AC6">
              <w:rPr>
                <w:rFonts w:eastAsia="Times New Roman" w:cs="Arial"/>
                <w:szCs w:val="16"/>
              </w:rPr>
              <w:t xml:space="preserve"> APR was submitted </w:t>
            </w:r>
            <w:proofErr w:type="gramStart"/>
            <w:r w:rsidRPr="00210AC6">
              <w:rPr>
                <w:rFonts w:eastAsia="Times New Roman" w:cs="Arial"/>
                <w:szCs w:val="16"/>
              </w:rPr>
              <w:t>on-time</w:t>
            </w:r>
            <w:proofErr w:type="gramEnd"/>
            <w:r w:rsidRPr="00210AC6">
              <w:rPr>
                <w:rFonts w:eastAsia="Times New Roman" w:cs="Arial"/>
                <w:szCs w:val="16"/>
              </w:rPr>
              <w:t>, place the number 5 in the cell on the right.</w:t>
            </w:r>
          </w:p>
        </w:tc>
        <w:tc>
          <w:tcPr>
            <w:tcW w:w="2700" w:type="dxa"/>
            <w:vAlign w:val="center"/>
            <w:hideMark/>
          </w:tcPr>
          <w:p w14:paraId="759DF98B" w14:textId="77777777" w:rsidR="009D31F8" w:rsidRPr="00210AC6" w:rsidRDefault="009D31F8">
            <w:pPr>
              <w:spacing w:before="0" w:after="0"/>
              <w:jc w:val="center"/>
              <w:rPr>
                <w:rFonts w:eastAsia="Times New Roman" w:cs="Arial"/>
                <w:szCs w:val="16"/>
              </w:rPr>
            </w:pPr>
            <w:r>
              <w:t>5</w:t>
            </w:r>
          </w:p>
        </w:tc>
      </w:tr>
      <w:tr w:rsidR="009D31F8" w:rsidRPr="00210AC6" w14:paraId="5FED72C7" w14:textId="77777777" w:rsidTr="009D31F8">
        <w:trPr>
          <w:trHeight w:val="485"/>
        </w:trPr>
        <w:tc>
          <w:tcPr>
            <w:tcW w:w="7105" w:type="dxa"/>
            <w:vAlign w:val="center"/>
            <w:hideMark/>
          </w:tcPr>
          <w:p w14:paraId="397FCF8A" w14:textId="77777777" w:rsidR="009D31F8" w:rsidRPr="00210AC6" w:rsidRDefault="009D31F8">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14:paraId="7749A936" w14:textId="77777777" w:rsidR="009D31F8" w:rsidRPr="00210AC6" w:rsidRDefault="009D31F8">
            <w:pPr>
              <w:spacing w:before="0" w:after="0"/>
              <w:jc w:val="center"/>
              <w:rPr>
                <w:rFonts w:eastAsia="Times New Roman" w:cs="Arial"/>
                <w:szCs w:val="16"/>
              </w:rPr>
            </w:pPr>
            <w:r>
              <w:t>19</w:t>
            </w:r>
          </w:p>
        </w:tc>
      </w:tr>
    </w:tbl>
    <w:p w14:paraId="3359275E" w14:textId="77777777" w:rsidR="009D31F8" w:rsidRDefault="009D31F8" w:rsidP="000135C2">
      <w:pPr>
        <w:rPr>
          <w:rFonts w:cs="Arial"/>
          <w:szCs w:val="16"/>
        </w:rPr>
      </w:pPr>
    </w:p>
    <w:p w14:paraId="7E480A46" w14:textId="77777777" w:rsidR="00AA07A0" w:rsidRPr="00D731C8" w:rsidRDefault="009D31F8" w:rsidP="00D731C8">
      <w:pPr>
        <w:rPr>
          <w:rFonts w:cs="Arial"/>
          <w:b/>
          <w:bCs/>
          <w:szCs w:val="16"/>
        </w:rPr>
      </w:pPr>
      <w:r w:rsidRPr="00D731C8">
        <w:rPr>
          <w:b/>
          <w:bCs/>
        </w:rPr>
        <w:t xml:space="preserve">(1) In the SPP/APR Data table, where there is an N/A in the Valid and Reliable column, the Total column will display a 0. This is a change from prior years in display only; all calculation methods are unchanged. An N/A does not negatively affect a </w:t>
      </w:r>
      <w:proofErr w:type="gramStart"/>
      <w:r w:rsidRPr="00D731C8">
        <w:rPr>
          <w:b/>
          <w:bCs/>
        </w:rPr>
        <w:t>State's</w:t>
      </w:r>
      <w:proofErr w:type="gramEnd"/>
      <w:r w:rsidRPr="00D731C8">
        <w:rPr>
          <w:b/>
          <w:bCs/>
        </w:rPr>
        <w:t xml:space="preserve"> score; this is because 1 point is subtracted from the Denominator in the Indicator Calculation table for each cell marked as N/A in the SPP/APR Data table.</w:t>
      </w:r>
      <w:r w:rsidR="00AA07A0" w:rsidRPr="00D731C8">
        <w:rPr>
          <w:rFonts w:cs="Arial"/>
          <w:b/>
          <w:bCs/>
          <w:szCs w:val="16"/>
        </w:rPr>
        <w:br w:type="page"/>
      </w:r>
    </w:p>
    <w:p w14:paraId="2CBF2A6C" w14:textId="77777777" w:rsidR="00F2466D" w:rsidRPr="009D31F8" w:rsidRDefault="009D31F8" w:rsidP="000135C2">
      <w:pPr>
        <w:rPr>
          <w:rFonts w:cs="Arial"/>
          <w:szCs w:val="16"/>
        </w:rPr>
      </w:pPr>
      <w:r w:rsidRPr="00210AC6">
        <w:rPr>
          <w:rFonts w:eastAsia="Times New Roman" w:cs="Arial"/>
          <w:b/>
          <w:bCs/>
          <w:szCs w:val="16"/>
        </w:rPr>
        <w:lastRenderedPageBreak/>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5F6D1836" w14:textId="77777777" w:rsidTr="005032AF">
        <w:trPr>
          <w:trHeight w:val="458"/>
        </w:trPr>
        <w:tc>
          <w:tcPr>
            <w:tcW w:w="1968" w:type="dxa"/>
            <w:vAlign w:val="center"/>
            <w:hideMark/>
          </w:tcPr>
          <w:p w14:paraId="3CCB48FA"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5DBB6D32"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7A58F0DA"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411CC54B"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07C9AFE2"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36014AFA" w14:textId="77777777" w:rsidTr="005032AF">
        <w:trPr>
          <w:trHeight w:val="828"/>
        </w:trPr>
        <w:tc>
          <w:tcPr>
            <w:tcW w:w="1968" w:type="dxa"/>
            <w:vAlign w:val="center"/>
            <w:hideMark/>
          </w:tcPr>
          <w:p w14:paraId="7746C8C6" w14:textId="77777777" w:rsidR="008558B7" w:rsidRPr="00210AC6" w:rsidRDefault="008558B7" w:rsidP="008558B7">
            <w:pPr>
              <w:spacing w:before="0" w:after="0"/>
              <w:jc w:val="center"/>
              <w:rPr>
                <w:rFonts w:eastAsia="Times New Roman" w:cs="Arial"/>
                <w:b/>
                <w:bCs/>
                <w:szCs w:val="16"/>
              </w:rPr>
            </w:pPr>
            <w:r>
              <w:rPr>
                <w:rFonts w:cs="Arial"/>
                <w:b/>
                <w:bCs/>
              </w:rPr>
              <w:t xml:space="preserve"> Child Count/Settings Due Date: 7/30/25</w:t>
            </w:r>
          </w:p>
        </w:tc>
        <w:tc>
          <w:tcPr>
            <w:tcW w:w="1968" w:type="dxa"/>
            <w:vAlign w:val="center"/>
            <w:hideMark/>
          </w:tcPr>
          <w:p w14:paraId="7191491D"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DAEE108"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8FBE7B7"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22F54268" w14:textId="77777777" w:rsidR="008558B7" w:rsidRPr="00210AC6" w:rsidRDefault="008558B7" w:rsidP="008558B7">
            <w:pPr>
              <w:spacing w:before="0" w:after="0"/>
              <w:jc w:val="center"/>
              <w:rPr>
                <w:rFonts w:eastAsia="Times New Roman" w:cs="Arial"/>
                <w:b/>
                <w:bCs/>
                <w:szCs w:val="16"/>
              </w:rPr>
            </w:pPr>
            <w:r>
              <w:t>3</w:t>
            </w:r>
          </w:p>
        </w:tc>
      </w:tr>
      <w:tr w:rsidR="008558B7" w:rsidRPr="00210AC6" w14:paraId="0AAE01E7" w14:textId="77777777" w:rsidTr="005032AF">
        <w:trPr>
          <w:trHeight w:val="828"/>
        </w:trPr>
        <w:tc>
          <w:tcPr>
            <w:tcW w:w="1968" w:type="dxa"/>
            <w:vAlign w:val="center"/>
            <w:hideMark/>
          </w:tcPr>
          <w:p w14:paraId="6AA61F53" w14:textId="77777777" w:rsidR="008558B7" w:rsidRPr="00210AC6" w:rsidRDefault="008558B7" w:rsidP="008558B7">
            <w:pPr>
              <w:spacing w:before="0" w:after="0"/>
              <w:jc w:val="center"/>
              <w:rPr>
                <w:rFonts w:eastAsia="Times New Roman" w:cs="Arial"/>
                <w:b/>
                <w:bCs/>
                <w:szCs w:val="16"/>
              </w:rPr>
            </w:pPr>
            <w:r>
              <w:rPr>
                <w:rFonts w:cs="Arial"/>
                <w:b/>
                <w:bCs/>
              </w:rPr>
              <w:t>Exiting Due Date: 2/18/26</w:t>
            </w:r>
          </w:p>
        </w:tc>
        <w:tc>
          <w:tcPr>
            <w:tcW w:w="1968" w:type="dxa"/>
            <w:vAlign w:val="center"/>
            <w:hideMark/>
          </w:tcPr>
          <w:p w14:paraId="020CB070"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BD960C6"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1D626C98"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63ECB379" w14:textId="77777777" w:rsidR="008558B7" w:rsidRPr="00210AC6" w:rsidRDefault="008558B7" w:rsidP="008558B7">
            <w:pPr>
              <w:spacing w:before="0" w:after="0"/>
              <w:jc w:val="center"/>
              <w:rPr>
                <w:rFonts w:eastAsia="Times New Roman" w:cs="Arial"/>
                <w:b/>
                <w:bCs/>
                <w:szCs w:val="16"/>
              </w:rPr>
            </w:pPr>
            <w:r>
              <w:t>3</w:t>
            </w:r>
          </w:p>
        </w:tc>
      </w:tr>
      <w:tr w:rsidR="008558B7" w:rsidRPr="00210AC6" w14:paraId="581A0C76" w14:textId="77777777" w:rsidTr="005032AF">
        <w:trPr>
          <w:trHeight w:val="828"/>
        </w:trPr>
        <w:tc>
          <w:tcPr>
            <w:tcW w:w="1968" w:type="dxa"/>
            <w:vAlign w:val="center"/>
            <w:hideMark/>
          </w:tcPr>
          <w:p w14:paraId="508B9F55" w14:textId="77777777" w:rsidR="008558B7" w:rsidRPr="00210AC6" w:rsidRDefault="008558B7" w:rsidP="008558B7">
            <w:pPr>
              <w:spacing w:before="0" w:after="0"/>
              <w:jc w:val="center"/>
              <w:rPr>
                <w:rFonts w:eastAsia="Times New Roman" w:cs="Arial"/>
                <w:b/>
                <w:bCs/>
                <w:szCs w:val="16"/>
              </w:rPr>
            </w:pPr>
            <w:r>
              <w:rPr>
                <w:rFonts w:cs="Arial"/>
                <w:b/>
                <w:bCs/>
              </w:rPr>
              <w:t>Dispute Resolution Due Date: 11/19/25</w:t>
            </w:r>
          </w:p>
        </w:tc>
        <w:tc>
          <w:tcPr>
            <w:tcW w:w="1968" w:type="dxa"/>
            <w:vAlign w:val="center"/>
            <w:hideMark/>
          </w:tcPr>
          <w:p w14:paraId="176C645C"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452E727" w14:textId="7777777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B7A92D0" w14:textId="77777777"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585F38FC" w14:textId="77777777" w:rsidR="008558B7" w:rsidRPr="00210AC6" w:rsidRDefault="008558B7" w:rsidP="008558B7">
            <w:pPr>
              <w:spacing w:before="0" w:after="0"/>
              <w:jc w:val="center"/>
              <w:rPr>
                <w:rFonts w:eastAsia="Times New Roman" w:cs="Arial"/>
                <w:b/>
                <w:bCs/>
                <w:szCs w:val="16"/>
              </w:rPr>
            </w:pPr>
            <w:r>
              <w:t>3</w:t>
            </w:r>
          </w:p>
        </w:tc>
      </w:tr>
    </w:tbl>
    <w:p w14:paraId="7A5D00CD" w14:textId="77777777" w:rsidR="000135C2" w:rsidRDefault="000135C2" w:rsidP="000135C2">
      <w:pPr>
        <w:rPr>
          <w:rFonts w:cs="Arial"/>
          <w:color w:val="000000" w:themeColor="text1"/>
          <w:szCs w:val="16"/>
        </w:rPr>
      </w:pPr>
    </w:p>
    <w:p w14:paraId="5CF4B4ED" w14:textId="77777777" w:rsidR="009D31F8" w:rsidRDefault="009D31F8" w:rsidP="000135C2">
      <w:pPr>
        <w:rPr>
          <w:rFonts w:cs="Arial"/>
          <w:color w:val="000000" w:themeColor="text1"/>
          <w:szCs w:val="16"/>
        </w:rPr>
      </w:pPr>
      <w:r w:rsidRPr="00210AC6">
        <w:rPr>
          <w:rFonts w:eastAsia="Times New Roman" w:cs="Arial"/>
          <w:b/>
          <w:bCs/>
          <w:szCs w:val="16"/>
        </w:rPr>
        <w:t xml:space="preserve">618 </w:t>
      </w:r>
      <w:proofErr w:type="gramStart"/>
      <w:r w:rsidRPr="00210AC6">
        <w:rPr>
          <w:rFonts w:eastAsia="Times New Roman" w:cs="Arial"/>
          <w:b/>
          <w:bCs/>
          <w:szCs w:val="16"/>
        </w:rPr>
        <w:t>Score</w:t>
      </w:r>
      <w:proofErr w:type="gramEnd"/>
      <w:r w:rsidRPr="00210AC6">
        <w:rPr>
          <w:rFonts w:eastAsia="Times New Roman" w:cs="Arial"/>
          <w:b/>
          <w:bCs/>
          <w:szCs w:val="16"/>
        </w:rPr>
        <w:t xml:space="preserv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009D31F8" w:rsidRPr="00210AC6" w14:paraId="7331BEBB" w14:textId="77777777" w:rsidTr="009D31F8">
        <w:trPr>
          <w:trHeight w:val="557"/>
        </w:trPr>
        <w:tc>
          <w:tcPr>
            <w:tcW w:w="7825" w:type="dxa"/>
            <w:vAlign w:val="center"/>
            <w:hideMark/>
          </w:tcPr>
          <w:p w14:paraId="32CDDD10"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14:paraId="1EA6770C" w14:textId="77777777" w:rsidR="009D31F8" w:rsidRPr="00210AC6" w:rsidRDefault="009D31F8">
            <w:pPr>
              <w:spacing w:before="0" w:after="0"/>
              <w:jc w:val="center"/>
              <w:rPr>
                <w:rFonts w:eastAsia="Times New Roman" w:cs="Arial"/>
                <w:szCs w:val="16"/>
              </w:rPr>
            </w:pPr>
            <w:r>
              <w:t>9</w:t>
            </w:r>
          </w:p>
        </w:tc>
      </w:tr>
      <w:tr w:rsidR="009D31F8" w:rsidRPr="00210AC6" w14:paraId="22051C11" w14:textId="77777777" w:rsidTr="009D31F8">
        <w:trPr>
          <w:trHeight w:val="530"/>
        </w:trPr>
        <w:tc>
          <w:tcPr>
            <w:tcW w:w="7825" w:type="dxa"/>
            <w:vAlign w:val="center"/>
            <w:hideMark/>
          </w:tcPr>
          <w:p w14:paraId="566EEEB0"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00FA4462">
              <w:rPr>
                <w:rFonts w:eastAsia="Times New Roman" w:cs="Arial"/>
                <w:szCs w:val="16"/>
              </w:rPr>
              <w:t>.11111111</w:t>
            </w:r>
            <w:r w:rsidRPr="00210AC6">
              <w:rPr>
                <w:rFonts w:eastAsia="Times New Roman" w:cs="Arial"/>
                <w:szCs w:val="16"/>
              </w:rPr>
              <w:t>) =</w:t>
            </w:r>
          </w:p>
        </w:tc>
        <w:tc>
          <w:tcPr>
            <w:tcW w:w="1973" w:type="dxa"/>
            <w:noWrap/>
            <w:vAlign w:val="center"/>
            <w:hideMark/>
          </w:tcPr>
          <w:p w14:paraId="78C7BF5C" w14:textId="77777777" w:rsidR="009D31F8" w:rsidRPr="00210AC6" w:rsidRDefault="009D31F8">
            <w:pPr>
              <w:spacing w:before="0" w:after="0"/>
              <w:jc w:val="center"/>
              <w:rPr>
                <w:rFonts w:eastAsia="Times New Roman" w:cs="Arial"/>
                <w:szCs w:val="16"/>
              </w:rPr>
            </w:pPr>
            <w:r>
              <w:t>19.00</w:t>
            </w:r>
          </w:p>
        </w:tc>
      </w:tr>
    </w:tbl>
    <w:p w14:paraId="39128487" w14:textId="77777777" w:rsidR="009D31F8" w:rsidRPr="00210AC6" w:rsidRDefault="009D31F8" w:rsidP="000135C2">
      <w:pPr>
        <w:rPr>
          <w:rFonts w:cs="Arial"/>
          <w:color w:val="000000" w:themeColor="text1"/>
          <w:szCs w:val="16"/>
        </w:rPr>
      </w:pPr>
    </w:p>
    <w:p w14:paraId="16730C68" w14:textId="77777777" w:rsidR="000135C2" w:rsidRPr="00210AC6" w:rsidRDefault="009D31F8" w:rsidP="000135C2">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004A2E39" w:rsidRPr="00210AC6" w14:paraId="2AA5B18C" w14:textId="77777777" w:rsidTr="005032AF">
        <w:trPr>
          <w:trHeight w:val="432"/>
        </w:trPr>
        <w:tc>
          <w:tcPr>
            <w:tcW w:w="5665" w:type="dxa"/>
            <w:vAlign w:val="center"/>
            <w:hideMark/>
          </w:tcPr>
          <w:p w14:paraId="56AFB1B2"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14:paraId="2D40D12F" w14:textId="77777777" w:rsidR="004A2E39" w:rsidRPr="00210AC6" w:rsidRDefault="004A2E39" w:rsidP="005032AF">
            <w:pPr>
              <w:spacing w:before="0" w:after="0"/>
              <w:jc w:val="center"/>
              <w:rPr>
                <w:rFonts w:eastAsia="Times New Roman" w:cs="Arial"/>
                <w:szCs w:val="16"/>
              </w:rPr>
            </w:pPr>
            <w:r>
              <w:t>19</w:t>
            </w:r>
          </w:p>
        </w:tc>
      </w:tr>
      <w:tr w:rsidR="004A2E39" w:rsidRPr="00210AC6" w14:paraId="227FCD94" w14:textId="77777777" w:rsidTr="005032AF">
        <w:trPr>
          <w:trHeight w:val="432"/>
        </w:trPr>
        <w:tc>
          <w:tcPr>
            <w:tcW w:w="5665" w:type="dxa"/>
            <w:vAlign w:val="center"/>
            <w:hideMark/>
          </w:tcPr>
          <w:p w14:paraId="3199078D"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14:paraId="56C36ED5" w14:textId="77777777" w:rsidR="004A2E39" w:rsidRPr="00210AC6" w:rsidRDefault="004A2E39" w:rsidP="005032AF">
            <w:pPr>
              <w:spacing w:before="0" w:after="0"/>
              <w:jc w:val="center"/>
              <w:rPr>
                <w:rFonts w:eastAsia="Times New Roman" w:cs="Arial"/>
                <w:szCs w:val="16"/>
              </w:rPr>
            </w:pPr>
            <w:r>
              <w:t>19.00</w:t>
            </w:r>
          </w:p>
        </w:tc>
      </w:tr>
      <w:tr w:rsidR="004A2E39" w:rsidRPr="00210AC6" w14:paraId="6420655F" w14:textId="77777777" w:rsidTr="005032AF">
        <w:trPr>
          <w:trHeight w:val="432"/>
        </w:trPr>
        <w:tc>
          <w:tcPr>
            <w:tcW w:w="5665" w:type="dxa"/>
            <w:vAlign w:val="center"/>
            <w:hideMark/>
          </w:tcPr>
          <w:p w14:paraId="1BFE6555"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14:paraId="09823B0F" w14:textId="77777777" w:rsidR="004A2E39" w:rsidRPr="00210AC6" w:rsidRDefault="004A2E39" w:rsidP="005032AF">
            <w:pPr>
              <w:spacing w:before="0" w:after="0"/>
              <w:jc w:val="center"/>
              <w:rPr>
                <w:rFonts w:eastAsia="Times New Roman" w:cs="Arial"/>
                <w:szCs w:val="16"/>
              </w:rPr>
            </w:pPr>
            <w:r>
              <w:t>38.00</w:t>
            </w:r>
          </w:p>
        </w:tc>
      </w:tr>
      <w:tr w:rsidR="004A2E39" w:rsidRPr="00210AC6" w14:paraId="015DB68F" w14:textId="77777777" w:rsidTr="005032AF">
        <w:trPr>
          <w:trHeight w:val="432"/>
        </w:trPr>
        <w:tc>
          <w:tcPr>
            <w:tcW w:w="5665" w:type="dxa"/>
            <w:vAlign w:val="center"/>
            <w:hideMark/>
          </w:tcPr>
          <w:p w14:paraId="49DDCCD2" w14:textId="7777777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14:paraId="5D076FED" w14:textId="77777777" w:rsidR="004A2E39" w:rsidRPr="00210AC6" w:rsidRDefault="004A2E39" w:rsidP="005032AF">
            <w:pPr>
              <w:spacing w:before="0" w:after="0"/>
              <w:jc w:val="center"/>
              <w:rPr>
                <w:rFonts w:eastAsia="Times New Roman" w:cs="Arial"/>
                <w:szCs w:val="16"/>
              </w:rPr>
            </w:pPr>
            <w:r>
              <w:t>0</w:t>
            </w:r>
          </w:p>
        </w:tc>
      </w:tr>
      <w:tr w:rsidR="004A2E39" w:rsidRPr="00210AC6" w14:paraId="1C68BAFF" w14:textId="77777777" w:rsidTr="005032AF">
        <w:trPr>
          <w:trHeight w:val="432"/>
        </w:trPr>
        <w:tc>
          <w:tcPr>
            <w:tcW w:w="5665" w:type="dxa"/>
            <w:vAlign w:val="center"/>
            <w:hideMark/>
          </w:tcPr>
          <w:p w14:paraId="03314F2A" w14:textId="7777777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14:paraId="15B6AF1D" w14:textId="77777777" w:rsidR="004A2E39" w:rsidRPr="00210AC6" w:rsidRDefault="004A2E39" w:rsidP="005032AF">
            <w:pPr>
              <w:spacing w:before="0" w:after="0"/>
              <w:jc w:val="center"/>
              <w:rPr>
                <w:rFonts w:eastAsia="Times New Roman" w:cs="Arial"/>
                <w:szCs w:val="16"/>
              </w:rPr>
            </w:pPr>
            <w:r>
              <w:t>0.00</w:t>
            </w:r>
          </w:p>
        </w:tc>
      </w:tr>
      <w:tr w:rsidR="004A2E39" w:rsidRPr="00210AC6" w14:paraId="2551B5FF" w14:textId="77777777" w:rsidTr="005032AF">
        <w:trPr>
          <w:trHeight w:val="432"/>
        </w:trPr>
        <w:tc>
          <w:tcPr>
            <w:tcW w:w="5665" w:type="dxa"/>
            <w:vAlign w:val="center"/>
            <w:hideMark/>
          </w:tcPr>
          <w:p w14:paraId="78DA9074" w14:textId="77777777"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14:paraId="73E4A318" w14:textId="77777777" w:rsidR="004A2E39" w:rsidRPr="00210AC6" w:rsidRDefault="004A2E39" w:rsidP="005032AF">
            <w:pPr>
              <w:spacing w:before="0" w:after="0"/>
              <w:jc w:val="center"/>
              <w:rPr>
                <w:rFonts w:eastAsia="Times New Roman" w:cs="Arial"/>
                <w:szCs w:val="16"/>
              </w:rPr>
            </w:pPr>
            <w:r>
              <w:t>38.00</w:t>
            </w:r>
          </w:p>
        </w:tc>
      </w:tr>
      <w:tr w:rsidR="004A2E39" w:rsidRPr="00210AC6" w14:paraId="63DCAEF1" w14:textId="77777777" w:rsidTr="005032AF">
        <w:trPr>
          <w:trHeight w:val="432"/>
        </w:trPr>
        <w:tc>
          <w:tcPr>
            <w:tcW w:w="5665" w:type="dxa"/>
            <w:vAlign w:val="center"/>
            <w:hideMark/>
          </w:tcPr>
          <w:p w14:paraId="4ABFCF3A" w14:textId="77777777"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14:paraId="3B7DCADF" w14:textId="77777777" w:rsidR="004A2E39" w:rsidRPr="00210AC6" w:rsidRDefault="004A2E39" w:rsidP="005032AF">
            <w:pPr>
              <w:spacing w:before="0" w:after="0"/>
              <w:jc w:val="center"/>
              <w:rPr>
                <w:rFonts w:eastAsia="Times New Roman" w:cs="Arial"/>
                <w:szCs w:val="16"/>
              </w:rPr>
            </w:pPr>
            <w:r>
              <w:t>1.0000</w:t>
            </w:r>
          </w:p>
        </w:tc>
      </w:tr>
      <w:tr w:rsidR="004A2E39" w:rsidRPr="00210AC6" w14:paraId="4DB6A3C2" w14:textId="77777777" w:rsidTr="005032AF">
        <w:trPr>
          <w:trHeight w:val="432"/>
        </w:trPr>
        <w:tc>
          <w:tcPr>
            <w:tcW w:w="5665" w:type="dxa"/>
            <w:vAlign w:val="center"/>
            <w:hideMark/>
          </w:tcPr>
          <w:p w14:paraId="24303CE7"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14:paraId="699D2C3A" w14:textId="77777777" w:rsidR="004A2E39" w:rsidRPr="00210AC6" w:rsidRDefault="004A2E39" w:rsidP="005032AF">
            <w:pPr>
              <w:spacing w:before="0" w:after="0"/>
              <w:jc w:val="center"/>
              <w:rPr>
                <w:rFonts w:eastAsia="Times New Roman" w:cs="Arial"/>
                <w:szCs w:val="16"/>
              </w:rPr>
            </w:pPr>
            <w:r>
              <w:t>100.00</w:t>
            </w:r>
          </w:p>
        </w:tc>
      </w:tr>
    </w:tbl>
    <w:p w14:paraId="72B51886" w14:textId="77777777" w:rsidR="001A0793" w:rsidRDefault="001A0793" w:rsidP="000135C2">
      <w:pPr>
        <w:rPr>
          <w:rFonts w:eastAsia="Times New Roman" w:cs="Arial"/>
          <w:b/>
          <w:bCs/>
          <w:szCs w:val="16"/>
        </w:rPr>
      </w:pPr>
    </w:p>
    <w:p w14:paraId="287ABEB9" w14:textId="77777777" w:rsidR="009D31F8" w:rsidRPr="00D731C8" w:rsidRDefault="009D31F8" w:rsidP="009D31F8">
      <w:pPr>
        <w:spacing w:after="120"/>
        <w:rPr>
          <w:b/>
          <w:bCs/>
        </w:rPr>
      </w:pPr>
      <w:r w:rsidRPr="00D731C8">
        <w:rPr>
          <w:b/>
          <w:bCs/>
        </w:rPr>
        <w:t xml:space="preserve">(2) In the 618 Data table, when calculating the value in the Total column, any N/As in the Timely, Complete Data, or Passed Edit Checks columns are treated as a ‘0’. An N/A does not negatively affect a </w:t>
      </w:r>
      <w:proofErr w:type="gramStart"/>
      <w:r w:rsidRPr="00D731C8">
        <w:rPr>
          <w:b/>
          <w:bCs/>
        </w:rPr>
        <w:t>State's</w:t>
      </w:r>
      <w:proofErr w:type="gramEnd"/>
      <w:r w:rsidRPr="00D731C8">
        <w:rPr>
          <w:b/>
          <w:bCs/>
        </w:rPr>
        <w:t xml:space="preserve"> score; this is because 2.11111111 points are subtracted from the Denominator in the Indicator Calculation table for each cell marked as N/A in the 618 Data table.</w:t>
      </w:r>
    </w:p>
    <w:p w14:paraId="07F3845F" w14:textId="77777777" w:rsidR="00FD2AA0" w:rsidRDefault="009D31F8" w:rsidP="00DC6D97">
      <w:pPr>
        <w:rPr>
          <w:b/>
          <w:bCs/>
        </w:rPr>
      </w:pPr>
      <w:r w:rsidRPr="00D731C8">
        <w:rPr>
          <w:b/>
          <w:bCs/>
        </w:rPr>
        <w:t>(3) Note that any cell marked as N/A in the APR Data Table will decrease the denominator by 1, and any cell marked as N/A in the 618 Data Table will decrease the denominator by 2.11111111.</w:t>
      </w:r>
    </w:p>
    <w:p w14:paraId="2429D6BA" w14:textId="77777777" w:rsidR="00FD2AA0" w:rsidRDefault="00FD2AA0" w:rsidP="00DC6D97">
      <w:pPr>
        <w:rPr>
          <w:b/>
          <w:bCs/>
        </w:rPr>
      </w:pPr>
    </w:p>
    <w:p w14:paraId="741F6978" w14:textId="77777777" w:rsidR="00FD2AA0" w:rsidRDefault="00FD2AA0" w:rsidP="00DC6D97">
      <w:pPr>
        <w:rPr>
          <w:b/>
          <w:bCs/>
        </w:rPr>
      </w:pPr>
    </w:p>
    <w:p w14:paraId="741E20DE" w14:textId="77777777" w:rsidR="00FD2AA0" w:rsidRPr="00DC6D97" w:rsidRDefault="00FD2AA0" w:rsidP="00DC6D97">
      <w:pPr>
        <w:rPr>
          <w:b/>
          <w:bCs/>
        </w:rPr>
      </w:pPr>
    </w:p>
    <w:p w14:paraId="42DFE3A7" w14:textId="77777777" w:rsidR="00DC6D97" w:rsidRDefault="00DC6D97" w:rsidP="00DC6D97"/>
    <w:p w14:paraId="222D5303" w14:textId="77777777" w:rsidR="00DC6D97" w:rsidRDefault="00DC6D97" w:rsidP="00DC6D97"/>
    <w:p w14:paraId="3FD66FA9" w14:textId="77777777" w:rsidR="00DC6D97" w:rsidRPr="00DC6D97" w:rsidRDefault="00DC6D97" w:rsidP="00DC6D97"/>
    <w:p w14:paraId="20866A82" w14:textId="77777777" w:rsidR="00A241E8" w:rsidRDefault="00A241E8">
      <w:pPr>
        <w:spacing w:before="0" w:after="200" w:line="276" w:lineRule="auto"/>
      </w:pPr>
      <w:r>
        <w:br w:type="page"/>
      </w:r>
    </w:p>
    <w:p w14:paraId="5FB0B4F9" w14:textId="77777777" w:rsidR="008A41E6" w:rsidRPr="008A41E6" w:rsidRDefault="008A41E6" w:rsidP="008A41E6">
      <w:pPr>
        <w:rPr>
          <w:b/>
          <w:bCs/>
          <w:sz w:val="20"/>
          <w:szCs w:val="28"/>
        </w:rPr>
      </w:pPr>
      <w:r w:rsidRPr="008A41E6">
        <w:rPr>
          <w:b/>
          <w:bCs/>
          <w:sz w:val="20"/>
          <w:szCs w:val="28"/>
        </w:rPr>
        <w:lastRenderedPageBreak/>
        <w:t>APR and 618 -Timely and Accurate State Reported Data</w:t>
      </w:r>
    </w:p>
    <w:p w14:paraId="191B93B2" w14:textId="77777777" w:rsidR="008A41E6" w:rsidRDefault="008A41E6" w:rsidP="008A41E6"/>
    <w:p w14:paraId="51FDC1F8" w14:textId="77777777" w:rsidR="008A41E6" w:rsidRPr="008A41E6" w:rsidRDefault="008A41E6" w:rsidP="008A41E6">
      <w:pPr>
        <w:rPr>
          <w:b/>
          <w:bCs/>
        </w:rPr>
      </w:pPr>
      <w:r w:rsidRPr="008A41E6">
        <w:rPr>
          <w:b/>
          <w:bCs/>
        </w:rPr>
        <w:t>DATE: February 2026 Submission</w:t>
      </w:r>
    </w:p>
    <w:p w14:paraId="0F072AAD" w14:textId="77777777" w:rsidR="008A41E6" w:rsidRDefault="008A41E6" w:rsidP="008A41E6"/>
    <w:p w14:paraId="20FCF1B0" w14:textId="77777777" w:rsidR="004D63DC" w:rsidRDefault="004D63DC" w:rsidP="008A41E6">
      <w:pPr>
        <w:rPr>
          <w:b/>
          <w:bCs/>
        </w:rPr>
      </w:pPr>
      <w:r>
        <w:rPr>
          <w:b/>
          <w:bCs/>
        </w:rPr>
        <w:t>SPP/APR Data</w:t>
      </w:r>
    </w:p>
    <w:p w14:paraId="22D0A151" w14:textId="77777777" w:rsidR="004D63DC" w:rsidRDefault="004D63DC" w:rsidP="008A41E6">
      <w:pPr>
        <w:rPr>
          <w:b/>
          <w:bCs/>
        </w:rPr>
      </w:pPr>
    </w:p>
    <w:p w14:paraId="38C952A1" w14:textId="77777777" w:rsidR="008A41E6" w:rsidRDefault="008A41E6" w:rsidP="008A41E6">
      <w:r w:rsidRPr="008A41E6">
        <w:rPr>
          <w:b/>
          <w:bCs/>
        </w:rPr>
        <w:t>1) Valid and Reliable Data</w:t>
      </w:r>
      <w:r w:rsidRPr="008A41E6">
        <w:t xml:space="preserve"> - Data provided are from the correct </w:t>
      </w:r>
      <w:proofErr w:type="gramStart"/>
      <w:r w:rsidRPr="008A41E6">
        <w:t>time period</w:t>
      </w:r>
      <w:proofErr w:type="gramEnd"/>
      <w:r w:rsidRPr="008A41E6">
        <w:t>, are consistent with 618 (when appropriate) and the measurement</w:t>
      </w:r>
      <w:r w:rsidR="00721540">
        <w:t>,</w:t>
      </w:r>
      <w:r w:rsidRPr="008A41E6">
        <w:t xml:space="preserve"> and are consistent with previous indicator data (unless explained).</w:t>
      </w:r>
    </w:p>
    <w:p w14:paraId="1E73B8CA" w14:textId="77777777" w:rsidR="008A41E6" w:rsidRDefault="008A41E6" w:rsidP="008A41E6"/>
    <w:p w14:paraId="5884F01A" w14:textId="77777777" w:rsidR="008A41E6" w:rsidRDefault="008A41E6" w:rsidP="008A41E6">
      <w:r w:rsidRPr="008A41E6">
        <w:rPr>
          <w:b/>
          <w:bCs/>
        </w:rPr>
        <w:t>Part C 618 Data</w:t>
      </w:r>
    </w:p>
    <w:p w14:paraId="7EFC03A9" w14:textId="77777777" w:rsidR="008A41E6" w:rsidRDefault="008A41E6" w:rsidP="008A41E6"/>
    <w:p w14:paraId="25257204" w14:textId="77777777" w:rsidR="008A41E6" w:rsidRDefault="008A41E6" w:rsidP="008A41E6">
      <w:r w:rsidRPr="008A41E6">
        <w:rPr>
          <w:b/>
          <w:bCs/>
        </w:rPr>
        <w:t>1) Timely</w:t>
      </w:r>
      <w:r w:rsidRPr="008A41E6">
        <w:t xml:space="preserve"> –   A State will receive one point if it </w:t>
      </w:r>
      <w:r w:rsidRPr="00106077">
        <w:t xml:space="preserve">submits </w:t>
      </w:r>
      <w:r w:rsidR="006563F6" w:rsidRPr="00106077">
        <w:t xml:space="preserve">all </w:t>
      </w:r>
      <w:proofErr w:type="spellStart"/>
      <w:r w:rsidR="006563F6" w:rsidRPr="00E70E58">
        <w:t>ED</w:t>
      </w:r>
      <w:r w:rsidR="006563F6" w:rsidRPr="00E70E58">
        <w:rPr>
          <w:i/>
          <w:iCs/>
        </w:rPr>
        <w:t>Facts</w:t>
      </w:r>
      <w:proofErr w:type="spellEnd"/>
      <w:r w:rsidR="006563F6" w:rsidRPr="00E70E58">
        <w:t xml:space="preserve"> files </w:t>
      </w:r>
      <w:r w:rsidRPr="00106077">
        <w:t>associated</w:t>
      </w:r>
      <w:r w:rsidRPr="008A41E6">
        <w:t xml:space="preserve"> with the IDEA Section 618 data collection to ED by the initial due date for that collection (as described </w:t>
      </w:r>
      <w:r w:rsidR="001D046F">
        <w:t xml:space="preserve">in </w:t>
      </w:r>
      <w:r w:rsidRPr="008A41E6">
        <w:t>the table below)</w:t>
      </w:r>
      <w:r w:rsidR="006F3F34" w:rsidRPr="008A41E6">
        <w:t xml:space="preserve">. </w:t>
      </w:r>
      <w:r w:rsidRPr="008A41E6">
        <w:t xml:space="preserve">  </w:t>
      </w:r>
    </w:p>
    <w:p w14:paraId="2893D49A" w14:textId="77777777"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15138F21" w14:textId="77777777" w:rsidTr="00E70E58">
        <w:trPr>
          <w:trHeight w:val="290"/>
        </w:trPr>
        <w:tc>
          <w:tcPr>
            <w:tcW w:w="2785" w:type="dxa"/>
            <w:hideMark/>
          </w:tcPr>
          <w:p w14:paraId="4A4FE6EB" w14:textId="77777777" w:rsidR="008A41E6" w:rsidRPr="008A41E6" w:rsidRDefault="008A41E6" w:rsidP="008A41E6">
            <w:pPr>
              <w:rPr>
                <w:b/>
                <w:bCs/>
              </w:rPr>
            </w:pPr>
            <w:r w:rsidRPr="008A41E6">
              <w:rPr>
                <w:b/>
                <w:bCs/>
              </w:rPr>
              <w:t>618 Data Collection</w:t>
            </w:r>
          </w:p>
        </w:tc>
        <w:tc>
          <w:tcPr>
            <w:tcW w:w="3615" w:type="dxa"/>
            <w:hideMark/>
          </w:tcPr>
          <w:p w14:paraId="765AB071" w14:textId="77777777" w:rsidR="008A41E6" w:rsidRPr="0063702E" w:rsidRDefault="00B73622">
            <w:pPr>
              <w:rPr>
                <w:b/>
                <w:bCs/>
              </w:rPr>
            </w:pPr>
            <w:proofErr w:type="spellStart"/>
            <w:r w:rsidRPr="00E70E58">
              <w:rPr>
                <w:b/>
                <w:bCs/>
              </w:rPr>
              <w:t>ED</w:t>
            </w:r>
            <w:r w:rsidRPr="00E70E58">
              <w:rPr>
                <w:b/>
                <w:bCs/>
                <w:i/>
                <w:iCs/>
              </w:rPr>
              <w:t>Facts</w:t>
            </w:r>
            <w:proofErr w:type="spellEnd"/>
            <w:r w:rsidRPr="00E70E58">
              <w:rPr>
                <w:b/>
                <w:bCs/>
              </w:rPr>
              <w:t xml:space="preserve"> Files</w:t>
            </w:r>
          </w:p>
        </w:tc>
        <w:tc>
          <w:tcPr>
            <w:tcW w:w="3230" w:type="dxa"/>
            <w:hideMark/>
          </w:tcPr>
          <w:p w14:paraId="102FCE8C" w14:textId="77777777" w:rsidR="008A41E6" w:rsidRPr="008A41E6" w:rsidRDefault="008A41E6">
            <w:pPr>
              <w:rPr>
                <w:b/>
                <w:bCs/>
              </w:rPr>
            </w:pPr>
            <w:r w:rsidRPr="008A41E6">
              <w:rPr>
                <w:b/>
                <w:bCs/>
              </w:rPr>
              <w:t>Due Date</w:t>
            </w:r>
          </w:p>
        </w:tc>
      </w:tr>
      <w:tr w:rsidR="00D34E49" w:rsidRPr="008A41E6" w14:paraId="2FBB180C" w14:textId="77777777" w:rsidTr="008A41E6">
        <w:trPr>
          <w:trHeight w:val="340"/>
        </w:trPr>
        <w:tc>
          <w:tcPr>
            <w:tcW w:w="2785" w:type="dxa"/>
            <w:hideMark/>
          </w:tcPr>
          <w:p w14:paraId="2A66964B" w14:textId="77777777" w:rsidR="00D34E49" w:rsidRPr="008A41E6" w:rsidRDefault="00D34E49" w:rsidP="00D34E49">
            <w:r w:rsidRPr="008A41E6">
              <w:t>Part C Child Count and Setting</w:t>
            </w:r>
          </w:p>
        </w:tc>
        <w:tc>
          <w:tcPr>
            <w:tcW w:w="3615" w:type="dxa"/>
            <w:hideMark/>
          </w:tcPr>
          <w:p w14:paraId="3CA082A7" w14:textId="77777777" w:rsidR="00D34E49" w:rsidRPr="008A41E6" w:rsidRDefault="006C7200" w:rsidP="00D34E49">
            <w:r>
              <w:t>FS</w:t>
            </w:r>
            <w:r w:rsidR="00607423">
              <w:t>90</w:t>
            </w:r>
            <w:r w:rsidR="00BD7E9F">
              <w:t>2</w:t>
            </w:r>
            <w:r w:rsidR="009D2694">
              <w:t>, FS90</w:t>
            </w:r>
            <w:r w:rsidR="00BD7E9F">
              <w:t>3</w:t>
            </w:r>
            <w:r w:rsidR="003C582D">
              <w:t>*</w:t>
            </w:r>
            <w:r w:rsidR="009D2694">
              <w:t>, FS90</w:t>
            </w:r>
            <w:r w:rsidR="00BD7E9F">
              <w:t>4</w:t>
            </w:r>
            <w:r w:rsidR="003C582D">
              <w:t>*</w:t>
            </w:r>
            <w:r w:rsidR="009D2694">
              <w:t>, FS905</w:t>
            </w:r>
          </w:p>
        </w:tc>
        <w:tc>
          <w:tcPr>
            <w:tcW w:w="3230" w:type="dxa"/>
            <w:hideMark/>
          </w:tcPr>
          <w:p w14:paraId="74C11E7A" w14:textId="77777777" w:rsidR="00D34E49" w:rsidRPr="008A41E6" w:rsidRDefault="00E654EA" w:rsidP="00D34E49">
            <w:r>
              <w:t>7</w:t>
            </w:r>
            <w:r w:rsidR="00D34E49">
              <w:t>/3</w:t>
            </w:r>
            <w:r w:rsidR="000203F5">
              <w:t>0</w:t>
            </w:r>
            <w:r w:rsidR="00D34E49">
              <w:t>/202</w:t>
            </w:r>
            <w:r w:rsidR="000203F5">
              <w:t>5</w:t>
            </w:r>
          </w:p>
        </w:tc>
      </w:tr>
      <w:tr w:rsidR="00D34E49" w:rsidRPr="008A41E6" w14:paraId="4A6D219A" w14:textId="77777777" w:rsidTr="008A41E6">
        <w:trPr>
          <w:trHeight w:val="340"/>
        </w:trPr>
        <w:tc>
          <w:tcPr>
            <w:tcW w:w="2785" w:type="dxa"/>
            <w:hideMark/>
          </w:tcPr>
          <w:p w14:paraId="3796433A" w14:textId="77777777" w:rsidR="00D34E49" w:rsidRPr="008A41E6" w:rsidRDefault="00D34E49" w:rsidP="00D34E49">
            <w:r w:rsidRPr="008A41E6">
              <w:t>Part C Exiting</w:t>
            </w:r>
          </w:p>
        </w:tc>
        <w:tc>
          <w:tcPr>
            <w:tcW w:w="3615" w:type="dxa"/>
            <w:hideMark/>
          </w:tcPr>
          <w:p w14:paraId="1A9DCAC2" w14:textId="77777777" w:rsidR="00D34E49" w:rsidRPr="008A41E6" w:rsidRDefault="007169B7" w:rsidP="00D34E49">
            <w:r>
              <w:t>FS901</w:t>
            </w:r>
          </w:p>
        </w:tc>
        <w:tc>
          <w:tcPr>
            <w:tcW w:w="3230" w:type="dxa"/>
            <w:hideMark/>
          </w:tcPr>
          <w:p w14:paraId="32784147" w14:textId="77777777" w:rsidR="00D34E49" w:rsidRPr="008A41E6" w:rsidRDefault="000203F5" w:rsidP="00D34E49">
            <w:r>
              <w:t>2</w:t>
            </w:r>
            <w:r w:rsidR="00D34E49">
              <w:t>/</w:t>
            </w:r>
            <w:r>
              <w:t>18</w:t>
            </w:r>
            <w:r w:rsidR="00D34E49">
              <w:t>/</w:t>
            </w:r>
            <w:r>
              <w:t>2026</w:t>
            </w:r>
          </w:p>
        </w:tc>
      </w:tr>
      <w:tr w:rsidR="00D34E49" w:rsidRPr="008A41E6" w14:paraId="06CC7847" w14:textId="77777777" w:rsidTr="008A41E6">
        <w:trPr>
          <w:trHeight w:val="340"/>
        </w:trPr>
        <w:tc>
          <w:tcPr>
            <w:tcW w:w="2785" w:type="dxa"/>
            <w:hideMark/>
          </w:tcPr>
          <w:p w14:paraId="57AEDE7F" w14:textId="77777777" w:rsidR="00D34E49" w:rsidRPr="008A41E6" w:rsidRDefault="00D34E49" w:rsidP="00D34E49">
            <w:r w:rsidRPr="008A41E6">
              <w:t xml:space="preserve">Part C Dispute Resolution </w:t>
            </w:r>
          </w:p>
        </w:tc>
        <w:tc>
          <w:tcPr>
            <w:tcW w:w="3615" w:type="dxa"/>
            <w:hideMark/>
          </w:tcPr>
          <w:p w14:paraId="6A9A87E6" w14:textId="77777777" w:rsidR="00D34E49" w:rsidRPr="008A41E6" w:rsidRDefault="00BC1D62" w:rsidP="00D34E49">
            <w:r>
              <w:t>FS</w:t>
            </w:r>
            <w:r w:rsidR="003961B9">
              <w:t>906, FS907, FS908</w:t>
            </w:r>
          </w:p>
        </w:tc>
        <w:tc>
          <w:tcPr>
            <w:tcW w:w="3230" w:type="dxa"/>
            <w:hideMark/>
          </w:tcPr>
          <w:p w14:paraId="455C739F" w14:textId="77777777" w:rsidR="00D34E49" w:rsidRPr="008A41E6" w:rsidRDefault="00D34E49" w:rsidP="00811738">
            <w:pPr>
              <w:tabs>
                <w:tab w:val="center" w:pos="1507"/>
              </w:tabs>
            </w:pPr>
            <w:r>
              <w:t>11/1</w:t>
            </w:r>
            <w:r w:rsidR="000203F5">
              <w:t>9</w:t>
            </w:r>
            <w:r>
              <w:t>/202</w:t>
            </w:r>
            <w:r w:rsidR="000203F5">
              <w:t>5</w:t>
            </w:r>
          </w:p>
        </w:tc>
      </w:tr>
    </w:tbl>
    <w:p w14:paraId="6D2EE347" w14:textId="77777777" w:rsidR="008A41E6" w:rsidRDefault="003C582D" w:rsidP="008A41E6">
      <w:r>
        <w:t>*</w:t>
      </w:r>
      <w:r w:rsidR="0097586C">
        <w:t xml:space="preserve"> </w:t>
      </w:r>
      <w:proofErr w:type="gramStart"/>
      <w:r w:rsidR="00014171">
        <w:t>if</w:t>
      </w:r>
      <w:proofErr w:type="gramEnd"/>
      <w:r>
        <w:t xml:space="preserve"> applicable</w:t>
      </w:r>
    </w:p>
    <w:p w14:paraId="3AD2106E" w14:textId="77777777" w:rsidR="003C582D" w:rsidRDefault="003C582D" w:rsidP="008A41E6"/>
    <w:p w14:paraId="27CD2CB2"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w:t>
      </w:r>
      <w:proofErr w:type="gramStart"/>
      <w:r w:rsidRPr="008A41E6">
        <w:t>include</w:t>
      </w:r>
      <w:proofErr w:type="gramEnd"/>
      <w:r w:rsidRPr="008A41E6">
        <w:t xml:space="preserve"> data from all districts or agencies.</w:t>
      </w:r>
    </w:p>
    <w:p w14:paraId="05386F40" w14:textId="77777777" w:rsidR="008A41E6" w:rsidRDefault="008A41E6" w:rsidP="008A41E6"/>
    <w:p w14:paraId="6110A1C5" w14:textId="77777777" w:rsidR="008A41E6" w:rsidRPr="008A41E6" w:rsidRDefault="008A41E6" w:rsidP="008A41E6">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Pr="00924FA7">
        <w:t xml:space="preserve">. </w:t>
      </w:r>
    </w:p>
    <w:p w14:paraId="561AF342" w14:textId="77777777" w:rsidR="008A41E6" w:rsidRDefault="008A41E6" w:rsidP="008A41E6"/>
    <w:p w14:paraId="62F30C02" w14:textId="77777777" w:rsidR="008A41E6" w:rsidRPr="008A41E6" w:rsidRDefault="008A41E6" w:rsidP="008A41E6">
      <w:pPr>
        <w:spacing w:before="0" w:after="200" w:line="276" w:lineRule="auto"/>
      </w:pPr>
      <w:r>
        <w:br w:type="page"/>
      </w:r>
    </w:p>
    <w:p w14:paraId="21208B2F" w14:textId="77777777" w:rsidR="00D21F29" w:rsidRPr="00CE7212" w:rsidRDefault="00D21F29" w:rsidP="00D21F29">
      <w:pPr>
        <w:pStyle w:val="Heading2"/>
        <w:rPr>
          <w:b w:val="0"/>
          <w:bCs w:val="0"/>
        </w:rPr>
      </w:pPr>
      <w:bookmarkStart w:id="91" w:name="_Hlk158188058"/>
      <w:r w:rsidRPr="00CE7212">
        <w:lastRenderedPageBreak/>
        <w:t>Dispute Resolution</w:t>
      </w:r>
    </w:p>
    <w:p w14:paraId="78885779" w14:textId="77777777" w:rsidR="00D21F29" w:rsidRPr="00CE7212" w:rsidRDefault="00D21F29" w:rsidP="00D21F29">
      <w:pPr>
        <w:rPr>
          <w:b/>
          <w:bCs/>
          <w:sz w:val="18"/>
          <w:szCs w:val="24"/>
        </w:rPr>
      </w:pPr>
      <w:r w:rsidRPr="00CE7212">
        <w:rPr>
          <w:b/>
          <w:bCs/>
          <w:sz w:val="18"/>
          <w:szCs w:val="24"/>
        </w:rPr>
        <w:t>IDEA Part C</w:t>
      </w:r>
    </w:p>
    <w:p w14:paraId="2190AF26" w14:textId="77777777" w:rsidR="00D21F29" w:rsidRPr="00CE7212" w:rsidRDefault="00D21F29" w:rsidP="00D21F29">
      <w:pPr>
        <w:rPr>
          <w:b/>
          <w:bCs/>
          <w:sz w:val="18"/>
          <w:szCs w:val="24"/>
        </w:rPr>
      </w:pPr>
      <w:r w:rsidRPr="00CE7212">
        <w:rPr>
          <w:b/>
          <w:bCs/>
          <w:sz w:val="18"/>
          <w:szCs w:val="24"/>
        </w:rPr>
        <w:t>Tennessee</w:t>
      </w:r>
    </w:p>
    <w:p w14:paraId="469C17C0" w14:textId="77777777" w:rsidR="00D21F29" w:rsidRPr="00CE7212" w:rsidRDefault="00D21F29" w:rsidP="00D21F29">
      <w:pPr>
        <w:rPr>
          <w:b/>
          <w:bCs/>
          <w:sz w:val="18"/>
          <w:szCs w:val="24"/>
        </w:rPr>
      </w:pPr>
      <w:r w:rsidRPr="00CE7212">
        <w:rPr>
          <w:b/>
          <w:bCs/>
          <w:sz w:val="18"/>
          <w:szCs w:val="24"/>
        </w:rPr>
        <w:t>Year 2024-25</w:t>
      </w:r>
    </w:p>
    <w:p w14:paraId="6D47FD82" w14:textId="77777777" w:rsidR="00D21F29" w:rsidRPr="00597743" w:rsidRDefault="00D21F29" w:rsidP="00D21F29">
      <w:pPr>
        <w:spacing w:before="0" w:after="0"/>
        <w:rPr>
          <w:szCs w:val="16"/>
        </w:rPr>
      </w:pPr>
    </w:p>
    <w:p w14:paraId="7DD55F7B" w14:textId="77777777" w:rsidR="00D21F29" w:rsidRPr="00597743" w:rsidRDefault="00D21F29" w:rsidP="00D21F29">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7734"/>
        <w:gridCol w:w="3056"/>
      </w:tblGrid>
      <w:tr w:rsidR="00D21F29" w:rsidRPr="00597743" w14:paraId="0514BE35"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7DBCEA3D" w14:textId="77777777" w:rsidR="00D21F29" w:rsidRPr="00597743" w:rsidRDefault="00D21F29">
            <w:pPr>
              <w:rPr>
                <w:rFonts w:cs="Arial"/>
                <w:b/>
                <w:bCs/>
                <w:szCs w:val="16"/>
              </w:rPr>
            </w:pPr>
            <w:r w:rsidRPr="00597743">
              <w:rPr>
                <w:rFonts w:cs="Arial"/>
                <w:b/>
                <w:bCs/>
                <w:szCs w:val="16"/>
              </w:rPr>
              <w:t>(1) Total number of written signed complaints filed.</w:t>
            </w:r>
          </w:p>
        </w:tc>
        <w:tc>
          <w:tcPr>
            <w:tcW w:w="1416" w:type="pct"/>
            <w:tcBorders>
              <w:top w:val="single" w:sz="4" w:space="0" w:color="auto"/>
              <w:left w:val="single" w:sz="4" w:space="0" w:color="auto"/>
              <w:bottom w:val="single" w:sz="4" w:space="0" w:color="auto"/>
              <w:right w:val="single" w:sz="4" w:space="0" w:color="auto"/>
            </w:tcBorders>
          </w:tcPr>
          <w:p w14:paraId="53733067" w14:textId="77777777" w:rsidR="00D21F29" w:rsidRPr="00597743" w:rsidRDefault="00D21F29">
            <w:pPr>
              <w:rPr>
                <w:rFonts w:cs="Arial"/>
                <w:szCs w:val="16"/>
              </w:rPr>
            </w:pPr>
            <w:r w:rsidRPr="00597743">
              <w:rPr>
                <w:rFonts w:cs="Arial"/>
                <w:szCs w:val="16"/>
              </w:rPr>
              <w:t>2</w:t>
            </w:r>
          </w:p>
        </w:tc>
      </w:tr>
      <w:tr w:rsidR="00D21F29" w:rsidRPr="00597743" w14:paraId="43631746"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07D1A21E" w14:textId="77777777" w:rsidR="00D21F29" w:rsidRPr="00597743" w:rsidRDefault="00D21F29">
            <w:pPr>
              <w:rPr>
                <w:rFonts w:cs="Arial"/>
                <w:szCs w:val="16"/>
              </w:rPr>
            </w:pPr>
            <w:r w:rsidRPr="00597743">
              <w:rPr>
                <w:rFonts w:cs="Arial"/>
                <w:szCs w:val="16"/>
              </w:rPr>
              <w:t>(1.1) Complaints with reports issued.</w:t>
            </w:r>
          </w:p>
        </w:tc>
        <w:tc>
          <w:tcPr>
            <w:tcW w:w="1416" w:type="pct"/>
            <w:tcBorders>
              <w:top w:val="single" w:sz="4" w:space="0" w:color="auto"/>
              <w:left w:val="single" w:sz="4" w:space="0" w:color="auto"/>
              <w:bottom w:val="single" w:sz="4" w:space="0" w:color="auto"/>
              <w:right w:val="single" w:sz="4" w:space="0" w:color="auto"/>
            </w:tcBorders>
          </w:tcPr>
          <w:p w14:paraId="1045087B" w14:textId="77777777" w:rsidR="00D21F29" w:rsidRPr="00597743" w:rsidRDefault="00D21F29">
            <w:pPr>
              <w:rPr>
                <w:rFonts w:cs="Arial"/>
                <w:szCs w:val="16"/>
              </w:rPr>
            </w:pPr>
            <w:r w:rsidRPr="00597743">
              <w:rPr>
                <w:rFonts w:cs="Arial"/>
                <w:szCs w:val="16"/>
              </w:rPr>
              <w:t>1</w:t>
            </w:r>
          </w:p>
        </w:tc>
      </w:tr>
      <w:tr w:rsidR="00D21F29" w:rsidRPr="00597743" w14:paraId="140249E3"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4B80A1EF" w14:textId="77777777" w:rsidR="00D21F29" w:rsidRPr="00597743" w:rsidRDefault="00D21F29">
            <w:pPr>
              <w:rPr>
                <w:rFonts w:cs="Arial"/>
                <w:szCs w:val="16"/>
              </w:rPr>
            </w:pPr>
            <w:r w:rsidRPr="00597743">
              <w:rPr>
                <w:rFonts w:cs="Arial"/>
                <w:szCs w:val="16"/>
              </w:rPr>
              <w:t>(1.1) (a) Reports with findings of noncompliance.</w:t>
            </w:r>
          </w:p>
        </w:tc>
        <w:tc>
          <w:tcPr>
            <w:tcW w:w="1416" w:type="pct"/>
            <w:tcBorders>
              <w:top w:val="single" w:sz="4" w:space="0" w:color="auto"/>
              <w:left w:val="single" w:sz="4" w:space="0" w:color="auto"/>
              <w:bottom w:val="single" w:sz="4" w:space="0" w:color="auto"/>
              <w:right w:val="single" w:sz="4" w:space="0" w:color="auto"/>
            </w:tcBorders>
          </w:tcPr>
          <w:p w14:paraId="20D12EEF" w14:textId="77777777" w:rsidR="00D21F29" w:rsidRPr="00597743" w:rsidRDefault="00D21F29">
            <w:pPr>
              <w:rPr>
                <w:rFonts w:cs="Arial"/>
                <w:szCs w:val="16"/>
              </w:rPr>
            </w:pPr>
            <w:r w:rsidRPr="00597743">
              <w:rPr>
                <w:rFonts w:cs="Arial"/>
                <w:szCs w:val="16"/>
              </w:rPr>
              <w:t>0</w:t>
            </w:r>
          </w:p>
        </w:tc>
      </w:tr>
      <w:tr w:rsidR="00D21F29" w:rsidRPr="00597743" w14:paraId="4F3CB147"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6D952BF" w14:textId="77777777" w:rsidR="00D21F29" w:rsidRPr="00597743" w:rsidRDefault="00D21F29">
            <w:pPr>
              <w:rPr>
                <w:rFonts w:cs="Arial"/>
                <w:szCs w:val="16"/>
              </w:rPr>
            </w:pPr>
            <w:r w:rsidRPr="00597743">
              <w:rPr>
                <w:rFonts w:cs="Arial"/>
                <w:szCs w:val="16"/>
              </w:rPr>
              <w:t>(1.1) (b) Reports within timelines.</w:t>
            </w:r>
          </w:p>
        </w:tc>
        <w:tc>
          <w:tcPr>
            <w:tcW w:w="1416" w:type="pct"/>
            <w:tcBorders>
              <w:top w:val="single" w:sz="4" w:space="0" w:color="auto"/>
              <w:left w:val="single" w:sz="4" w:space="0" w:color="auto"/>
              <w:bottom w:val="single" w:sz="4" w:space="0" w:color="auto"/>
              <w:right w:val="single" w:sz="4" w:space="0" w:color="auto"/>
            </w:tcBorders>
          </w:tcPr>
          <w:p w14:paraId="4A483597" w14:textId="77777777" w:rsidR="00D21F29" w:rsidRPr="00597743" w:rsidRDefault="00D21F29">
            <w:pPr>
              <w:rPr>
                <w:rFonts w:cs="Arial"/>
                <w:szCs w:val="16"/>
              </w:rPr>
            </w:pPr>
            <w:r w:rsidRPr="00597743">
              <w:rPr>
                <w:rFonts w:cs="Arial"/>
                <w:szCs w:val="16"/>
              </w:rPr>
              <w:t>1</w:t>
            </w:r>
          </w:p>
        </w:tc>
      </w:tr>
      <w:tr w:rsidR="00D21F29" w:rsidRPr="00597743" w14:paraId="164669E5"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6669DF4F" w14:textId="77777777" w:rsidR="00D21F29" w:rsidRPr="00597743" w:rsidRDefault="00D21F29">
            <w:pPr>
              <w:rPr>
                <w:rFonts w:cs="Arial"/>
                <w:szCs w:val="16"/>
              </w:rPr>
            </w:pPr>
            <w:r w:rsidRPr="00597743">
              <w:rPr>
                <w:rFonts w:cs="Arial"/>
                <w:szCs w:val="16"/>
              </w:rPr>
              <w:t>(1.1) (c) Reports within extended timelines.</w:t>
            </w:r>
          </w:p>
        </w:tc>
        <w:tc>
          <w:tcPr>
            <w:tcW w:w="1416" w:type="pct"/>
            <w:tcBorders>
              <w:top w:val="single" w:sz="4" w:space="0" w:color="auto"/>
              <w:left w:val="single" w:sz="4" w:space="0" w:color="auto"/>
              <w:bottom w:val="single" w:sz="4" w:space="0" w:color="auto"/>
              <w:right w:val="single" w:sz="4" w:space="0" w:color="auto"/>
            </w:tcBorders>
          </w:tcPr>
          <w:p w14:paraId="06A8D6D5" w14:textId="77777777" w:rsidR="00D21F29" w:rsidRPr="00597743" w:rsidRDefault="00D21F29">
            <w:pPr>
              <w:rPr>
                <w:rFonts w:cs="Arial"/>
                <w:szCs w:val="16"/>
              </w:rPr>
            </w:pPr>
            <w:r w:rsidRPr="00597743">
              <w:rPr>
                <w:rFonts w:cs="Arial"/>
                <w:szCs w:val="16"/>
              </w:rPr>
              <w:t>0</w:t>
            </w:r>
          </w:p>
        </w:tc>
      </w:tr>
      <w:tr w:rsidR="00D21F29" w:rsidRPr="00597743" w14:paraId="4877A729"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265938BB" w14:textId="77777777" w:rsidR="00D21F29" w:rsidRPr="00597743" w:rsidRDefault="00D21F29">
            <w:pPr>
              <w:rPr>
                <w:rFonts w:cs="Arial"/>
                <w:szCs w:val="16"/>
              </w:rPr>
            </w:pPr>
            <w:r w:rsidRPr="00597743">
              <w:rPr>
                <w:rFonts w:cs="Arial"/>
                <w:szCs w:val="16"/>
              </w:rPr>
              <w:t xml:space="preserve">(1.2) Complaints pending. </w:t>
            </w:r>
          </w:p>
        </w:tc>
        <w:tc>
          <w:tcPr>
            <w:tcW w:w="1416" w:type="pct"/>
            <w:tcBorders>
              <w:top w:val="single" w:sz="4" w:space="0" w:color="auto"/>
              <w:left w:val="single" w:sz="4" w:space="0" w:color="auto"/>
              <w:bottom w:val="single" w:sz="4" w:space="0" w:color="auto"/>
              <w:right w:val="single" w:sz="4" w:space="0" w:color="auto"/>
            </w:tcBorders>
          </w:tcPr>
          <w:p w14:paraId="47E21CCC" w14:textId="77777777" w:rsidR="00D21F29" w:rsidRPr="00597743" w:rsidRDefault="00D21F29">
            <w:pPr>
              <w:rPr>
                <w:rFonts w:cs="Arial"/>
                <w:szCs w:val="16"/>
              </w:rPr>
            </w:pPr>
            <w:r w:rsidRPr="00597743">
              <w:rPr>
                <w:rFonts w:cs="Arial"/>
                <w:szCs w:val="16"/>
              </w:rPr>
              <w:t>0</w:t>
            </w:r>
          </w:p>
        </w:tc>
      </w:tr>
      <w:tr w:rsidR="00D21F29" w:rsidRPr="00597743" w14:paraId="6E05A481"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1549CB2" w14:textId="77777777" w:rsidR="00D21F29" w:rsidRPr="00597743" w:rsidRDefault="00D21F29">
            <w:pPr>
              <w:rPr>
                <w:rFonts w:cs="Arial"/>
                <w:szCs w:val="16"/>
              </w:rPr>
            </w:pPr>
            <w:r w:rsidRPr="00597743">
              <w:rPr>
                <w:rFonts w:cs="Arial"/>
                <w:szCs w:val="16"/>
              </w:rPr>
              <w:t xml:space="preserve">(1.2) (a) Complaints pending </w:t>
            </w:r>
            <w:proofErr w:type="gramStart"/>
            <w:r w:rsidRPr="00597743">
              <w:rPr>
                <w:rFonts w:cs="Arial"/>
                <w:szCs w:val="16"/>
              </w:rPr>
              <w:t>a due</w:t>
            </w:r>
            <w:proofErr w:type="gramEnd"/>
            <w:r w:rsidRPr="00597743">
              <w:rPr>
                <w:rFonts w:cs="Arial"/>
                <w:szCs w:val="16"/>
              </w:rPr>
              <w:t xml:space="preserve"> process hearing. </w:t>
            </w:r>
          </w:p>
        </w:tc>
        <w:tc>
          <w:tcPr>
            <w:tcW w:w="1416" w:type="pct"/>
            <w:tcBorders>
              <w:top w:val="single" w:sz="4" w:space="0" w:color="auto"/>
              <w:left w:val="single" w:sz="4" w:space="0" w:color="auto"/>
              <w:bottom w:val="single" w:sz="4" w:space="0" w:color="auto"/>
              <w:right w:val="single" w:sz="4" w:space="0" w:color="auto"/>
            </w:tcBorders>
          </w:tcPr>
          <w:p w14:paraId="160C3979" w14:textId="77777777" w:rsidR="00D21F29" w:rsidRPr="00597743" w:rsidRDefault="00D21F29">
            <w:pPr>
              <w:rPr>
                <w:rFonts w:cs="Arial"/>
                <w:szCs w:val="16"/>
              </w:rPr>
            </w:pPr>
            <w:r w:rsidRPr="00597743">
              <w:rPr>
                <w:rFonts w:cs="Arial"/>
                <w:szCs w:val="16"/>
              </w:rPr>
              <w:t>0</w:t>
            </w:r>
          </w:p>
        </w:tc>
      </w:tr>
      <w:tr w:rsidR="00D21F29" w:rsidRPr="00597743" w14:paraId="19AF6E13"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6984E8FD" w14:textId="77777777" w:rsidR="00D21F29" w:rsidRPr="00597743" w:rsidRDefault="00D21F29">
            <w:pPr>
              <w:rPr>
                <w:rFonts w:cs="Arial"/>
                <w:szCs w:val="16"/>
              </w:rPr>
            </w:pPr>
            <w:r w:rsidRPr="00597743">
              <w:rPr>
                <w:rFonts w:cs="Arial"/>
                <w:szCs w:val="16"/>
              </w:rPr>
              <w:t xml:space="preserve">(1.3) Complaints withdrawn or dismissed. </w:t>
            </w:r>
          </w:p>
        </w:tc>
        <w:tc>
          <w:tcPr>
            <w:tcW w:w="1416" w:type="pct"/>
            <w:tcBorders>
              <w:top w:val="single" w:sz="4" w:space="0" w:color="auto"/>
              <w:left w:val="single" w:sz="4" w:space="0" w:color="auto"/>
              <w:bottom w:val="single" w:sz="4" w:space="0" w:color="auto"/>
              <w:right w:val="single" w:sz="4" w:space="0" w:color="auto"/>
            </w:tcBorders>
          </w:tcPr>
          <w:p w14:paraId="2AEB2321" w14:textId="77777777" w:rsidR="00D21F29" w:rsidRPr="00597743" w:rsidRDefault="00D21F29">
            <w:pPr>
              <w:rPr>
                <w:rFonts w:cs="Arial"/>
                <w:szCs w:val="16"/>
              </w:rPr>
            </w:pPr>
            <w:r w:rsidRPr="00597743">
              <w:rPr>
                <w:rFonts w:cs="Arial"/>
                <w:szCs w:val="16"/>
              </w:rPr>
              <w:t>1</w:t>
            </w:r>
          </w:p>
        </w:tc>
      </w:tr>
    </w:tbl>
    <w:p w14:paraId="7A1E9482" w14:textId="77777777" w:rsidR="00D21F29" w:rsidRPr="00597743" w:rsidRDefault="00D21F29" w:rsidP="00D21F29">
      <w:pPr>
        <w:rPr>
          <w:rFonts w:cs="Arial"/>
          <w:b/>
          <w:bCs/>
          <w:szCs w:val="16"/>
        </w:rPr>
      </w:pPr>
    </w:p>
    <w:p w14:paraId="0234359E" w14:textId="77777777" w:rsidR="00D21F29" w:rsidRPr="00597743" w:rsidRDefault="00D21F29" w:rsidP="00D21F29">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8004"/>
        <w:gridCol w:w="2786"/>
      </w:tblGrid>
      <w:tr w:rsidR="00D21F29" w:rsidRPr="00597743" w14:paraId="725D7530"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27F9A194" w14:textId="77777777" w:rsidR="00D21F29" w:rsidRPr="00597743" w:rsidRDefault="00D21F29">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sz="4" w:space="0" w:color="auto"/>
              <w:left w:val="single" w:sz="4" w:space="0" w:color="auto"/>
              <w:bottom w:val="single" w:sz="4" w:space="0" w:color="auto"/>
              <w:right w:val="single" w:sz="4" w:space="0" w:color="auto"/>
            </w:tcBorders>
          </w:tcPr>
          <w:p w14:paraId="2EB86091" w14:textId="77777777" w:rsidR="00D21F29" w:rsidRPr="00597743" w:rsidRDefault="00D21F29">
            <w:pPr>
              <w:rPr>
                <w:rFonts w:cs="Arial"/>
                <w:szCs w:val="16"/>
              </w:rPr>
            </w:pPr>
            <w:r w:rsidRPr="00597743">
              <w:rPr>
                <w:rFonts w:cs="Arial"/>
                <w:szCs w:val="16"/>
              </w:rPr>
              <w:t>0</w:t>
            </w:r>
          </w:p>
        </w:tc>
      </w:tr>
      <w:tr w:rsidR="00D21F29" w:rsidRPr="00597743" w14:paraId="6B8553DF"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06659C77" w14:textId="77777777" w:rsidR="00D21F29" w:rsidRPr="00597743" w:rsidRDefault="00D21F29">
            <w:pPr>
              <w:rPr>
                <w:rFonts w:cs="Arial"/>
                <w:szCs w:val="16"/>
              </w:rPr>
            </w:pPr>
            <w:r w:rsidRPr="00597743">
              <w:rPr>
                <w:rFonts w:cs="Arial"/>
                <w:szCs w:val="16"/>
              </w:rPr>
              <w:t xml:space="preserve">(2.1) Mediations </w:t>
            </w:r>
            <w:proofErr w:type="gramStart"/>
            <w:r w:rsidRPr="00597743">
              <w:rPr>
                <w:rFonts w:cs="Arial"/>
                <w:szCs w:val="16"/>
              </w:rPr>
              <w:t>held</w:t>
            </w:r>
            <w:proofErr w:type="gramEnd"/>
            <w:r w:rsidRPr="00597743">
              <w:rPr>
                <w:rFonts w:cs="Arial"/>
                <w:szCs w:val="16"/>
              </w:rPr>
              <w:t xml:space="preserve">. </w:t>
            </w:r>
          </w:p>
        </w:tc>
        <w:tc>
          <w:tcPr>
            <w:tcW w:w="1291" w:type="pct"/>
            <w:tcBorders>
              <w:top w:val="single" w:sz="4" w:space="0" w:color="auto"/>
              <w:left w:val="single" w:sz="4" w:space="0" w:color="auto"/>
              <w:bottom w:val="single" w:sz="4" w:space="0" w:color="auto"/>
              <w:right w:val="single" w:sz="4" w:space="0" w:color="auto"/>
            </w:tcBorders>
          </w:tcPr>
          <w:p w14:paraId="0330359C" w14:textId="77777777" w:rsidR="00D21F29" w:rsidRPr="00597743" w:rsidRDefault="00D21F29">
            <w:pPr>
              <w:rPr>
                <w:rFonts w:cs="Arial"/>
                <w:szCs w:val="16"/>
              </w:rPr>
            </w:pPr>
            <w:r w:rsidRPr="00597743">
              <w:rPr>
                <w:rFonts w:cs="Arial"/>
                <w:szCs w:val="16"/>
              </w:rPr>
              <w:t>0</w:t>
            </w:r>
          </w:p>
        </w:tc>
      </w:tr>
      <w:tr w:rsidR="00D21F29" w:rsidRPr="00597743" w14:paraId="5C00BA44" w14:textId="77777777" w:rsidTr="00811738">
        <w:trPr>
          <w:trHeight w:val="278"/>
        </w:trPr>
        <w:tc>
          <w:tcPr>
            <w:tcW w:w="3709" w:type="pct"/>
            <w:tcBorders>
              <w:top w:val="single" w:sz="4" w:space="0" w:color="auto"/>
              <w:left w:val="single" w:sz="4" w:space="0" w:color="auto"/>
              <w:bottom w:val="single" w:sz="4" w:space="0" w:color="auto"/>
              <w:right w:val="single" w:sz="4" w:space="0" w:color="auto"/>
            </w:tcBorders>
            <w:hideMark/>
          </w:tcPr>
          <w:p w14:paraId="74EF86AD" w14:textId="77777777" w:rsidR="00D21F29" w:rsidRPr="00597743" w:rsidRDefault="00D21F29">
            <w:pPr>
              <w:rPr>
                <w:rFonts w:cs="Arial"/>
                <w:szCs w:val="16"/>
              </w:rPr>
            </w:pPr>
            <w:r w:rsidRPr="00597743">
              <w:rPr>
                <w:rFonts w:cs="Arial"/>
                <w:szCs w:val="16"/>
              </w:rPr>
              <w:t xml:space="preserve">(2.1) (a) Mediations held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240E8493" w14:textId="77777777" w:rsidR="00D21F29" w:rsidRPr="00597743" w:rsidRDefault="00D21F29">
            <w:pPr>
              <w:rPr>
                <w:rFonts w:cs="Arial"/>
                <w:szCs w:val="16"/>
              </w:rPr>
            </w:pPr>
            <w:r w:rsidRPr="00597743">
              <w:rPr>
                <w:rFonts w:cs="Arial"/>
                <w:szCs w:val="16"/>
              </w:rPr>
              <w:t>0</w:t>
            </w:r>
          </w:p>
        </w:tc>
      </w:tr>
      <w:tr w:rsidR="00D21F29" w:rsidRPr="00597743" w14:paraId="4F930CD1"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22F6ABC1" w14:textId="77777777" w:rsidR="00D21F29" w:rsidRPr="00597743" w:rsidRDefault="00D21F29">
            <w:pPr>
              <w:rPr>
                <w:rFonts w:cs="Arial"/>
                <w:szCs w:val="16"/>
              </w:rPr>
            </w:pPr>
            <w:r w:rsidRPr="00597743">
              <w:rPr>
                <w:rFonts w:cs="Arial"/>
                <w:szCs w:val="16"/>
              </w:rPr>
              <w:t>(2.1) (a) (</w:t>
            </w:r>
            <w:proofErr w:type="spellStart"/>
            <w:r w:rsidRPr="00597743">
              <w:rPr>
                <w:rFonts w:cs="Arial"/>
                <w:szCs w:val="16"/>
              </w:rPr>
              <w:t>i</w:t>
            </w:r>
            <w:proofErr w:type="spellEnd"/>
            <w:r w:rsidRPr="00597743">
              <w:rPr>
                <w:rFonts w:cs="Arial"/>
                <w:szCs w:val="16"/>
              </w:rPr>
              <w:t xml:space="preserve">) Mediation agreements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6C27D7EA" w14:textId="77777777" w:rsidR="00D21F29" w:rsidRPr="00597743" w:rsidRDefault="00D21F29">
            <w:pPr>
              <w:rPr>
                <w:rFonts w:cs="Arial"/>
                <w:szCs w:val="16"/>
              </w:rPr>
            </w:pPr>
            <w:r w:rsidRPr="00597743">
              <w:rPr>
                <w:rFonts w:cs="Arial"/>
                <w:szCs w:val="16"/>
              </w:rPr>
              <w:t>0</w:t>
            </w:r>
          </w:p>
        </w:tc>
      </w:tr>
      <w:tr w:rsidR="00D21F29" w:rsidRPr="00597743" w14:paraId="713203B1"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575F7B7A" w14:textId="77777777" w:rsidR="00D21F29" w:rsidRPr="00597743" w:rsidRDefault="00D21F29">
            <w:pPr>
              <w:rPr>
                <w:rFonts w:cs="Arial"/>
                <w:szCs w:val="16"/>
              </w:rPr>
            </w:pPr>
            <w:r w:rsidRPr="00597743">
              <w:rPr>
                <w:rFonts w:cs="Arial"/>
                <w:szCs w:val="16"/>
              </w:rPr>
              <w:t xml:space="preserve">(2.1) (b) Mediations held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0510D117" w14:textId="77777777" w:rsidR="00D21F29" w:rsidRPr="00597743" w:rsidRDefault="00D21F29">
            <w:pPr>
              <w:rPr>
                <w:rFonts w:cs="Arial"/>
                <w:szCs w:val="16"/>
              </w:rPr>
            </w:pPr>
            <w:r w:rsidRPr="00597743">
              <w:rPr>
                <w:rFonts w:cs="Arial"/>
                <w:szCs w:val="16"/>
              </w:rPr>
              <w:t>0</w:t>
            </w:r>
          </w:p>
        </w:tc>
      </w:tr>
      <w:tr w:rsidR="00D21F29" w:rsidRPr="00597743" w14:paraId="1235B8CE"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26C4A12D" w14:textId="77777777" w:rsidR="00D21F29" w:rsidRPr="00597743" w:rsidRDefault="00D21F29">
            <w:pPr>
              <w:rPr>
                <w:rFonts w:cs="Arial"/>
                <w:szCs w:val="16"/>
              </w:rPr>
            </w:pPr>
            <w:r w:rsidRPr="00597743">
              <w:rPr>
                <w:rFonts w:cs="Arial"/>
                <w:szCs w:val="16"/>
              </w:rPr>
              <w:t>(2.1) (b) (</w:t>
            </w:r>
            <w:proofErr w:type="spellStart"/>
            <w:r w:rsidRPr="00597743">
              <w:rPr>
                <w:rFonts w:cs="Arial"/>
                <w:szCs w:val="16"/>
              </w:rPr>
              <w:t>i</w:t>
            </w:r>
            <w:proofErr w:type="spellEnd"/>
            <w:r w:rsidRPr="00597743">
              <w:rPr>
                <w:rFonts w:cs="Arial"/>
                <w:szCs w:val="16"/>
              </w:rPr>
              <w:t xml:space="preserve">) Mediation agreements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60680932" w14:textId="77777777" w:rsidR="00D21F29" w:rsidRPr="00597743" w:rsidRDefault="00D21F29">
            <w:pPr>
              <w:rPr>
                <w:rFonts w:cs="Arial"/>
                <w:szCs w:val="16"/>
              </w:rPr>
            </w:pPr>
            <w:r w:rsidRPr="00597743">
              <w:rPr>
                <w:rFonts w:cs="Arial"/>
                <w:szCs w:val="16"/>
              </w:rPr>
              <w:t>0</w:t>
            </w:r>
          </w:p>
        </w:tc>
      </w:tr>
      <w:tr w:rsidR="00D21F29" w:rsidRPr="00597743" w14:paraId="4F4D4FD8"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31FF710E" w14:textId="77777777" w:rsidR="00D21F29" w:rsidRPr="00597743" w:rsidRDefault="00D21F29">
            <w:pPr>
              <w:rPr>
                <w:rFonts w:cs="Arial"/>
                <w:szCs w:val="16"/>
              </w:rPr>
            </w:pPr>
            <w:r w:rsidRPr="00597743">
              <w:rPr>
                <w:rFonts w:cs="Arial"/>
                <w:szCs w:val="16"/>
              </w:rPr>
              <w:t xml:space="preserve">(2.2) Mediations pending. </w:t>
            </w:r>
          </w:p>
        </w:tc>
        <w:tc>
          <w:tcPr>
            <w:tcW w:w="1291" w:type="pct"/>
            <w:tcBorders>
              <w:top w:val="single" w:sz="4" w:space="0" w:color="auto"/>
              <w:left w:val="single" w:sz="4" w:space="0" w:color="auto"/>
              <w:bottom w:val="single" w:sz="4" w:space="0" w:color="auto"/>
              <w:right w:val="single" w:sz="4" w:space="0" w:color="auto"/>
            </w:tcBorders>
          </w:tcPr>
          <w:p w14:paraId="2FA10519" w14:textId="77777777" w:rsidR="00D21F29" w:rsidRPr="00597743" w:rsidRDefault="00D21F29">
            <w:pPr>
              <w:rPr>
                <w:rFonts w:cs="Arial"/>
                <w:szCs w:val="16"/>
              </w:rPr>
            </w:pPr>
            <w:r w:rsidRPr="00597743">
              <w:rPr>
                <w:rFonts w:cs="Arial"/>
                <w:szCs w:val="16"/>
              </w:rPr>
              <w:t>0</w:t>
            </w:r>
          </w:p>
        </w:tc>
      </w:tr>
      <w:tr w:rsidR="00D21F29" w:rsidRPr="00597743" w14:paraId="3F37A6A6"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63FD0169" w14:textId="77777777" w:rsidR="00D21F29" w:rsidRPr="00597743" w:rsidRDefault="00D21F29">
            <w:pPr>
              <w:rPr>
                <w:rFonts w:cs="Arial"/>
                <w:szCs w:val="16"/>
              </w:rPr>
            </w:pPr>
            <w:r w:rsidRPr="00597743">
              <w:rPr>
                <w:rFonts w:cs="Arial"/>
                <w:szCs w:val="16"/>
              </w:rPr>
              <w:t xml:space="preserve">(2.3) Mediations not held. </w:t>
            </w:r>
          </w:p>
        </w:tc>
        <w:tc>
          <w:tcPr>
            <w:tcW w:w="1291" w:type="pct"/>
            <w:tcBorders>
              <w:top w:val="single" w:sz="4" w:space="0" w:color="auto"/>
              <w:left w:val="single" w:sz="4" w:space="0" w:color="auto"/>
              <w:bottom w:val="single" w:sz="4" w:space="0" w:color="auto"/>
              <w:right w:val="single" w:sz="4" w:space="0" w:color="auto"/>
            </w:tcBorders>
          </w:tcPr>
          <w:p w14:paraId="7C2C0137" w14:textId="77777777" w:rsidR="00D21F29" w:rsidRPr="00597743" w:rsidRDefault="00D21F29">
            <w:pPr>
              <w:rPr>
                <w:rFonts w:cs="Arial"/>
                <w:szCs w:val="16"/>
              </w:rPr>
            </w:pPr>
            <w:r w:rsidRPr="00597743">
              <w:rPr>
                <w:rFonts w:cs="Arial"/>
                <w:szCs w:val="16"/>
              </w:rPr>
              <w:t>0</w:t>
            </w:r>
          </w:p>
        </w:tc>
      </w:tr>
    </w:tbl>
    <w:p w14:paraId="5500F7F5" w14:textId="77777777" w:rsidR="00D21F29" w:rsidRPr="00597743" w:rsidRDefault="00D21F29" w:rsidP="00D21F29">
      <w:pPr>
        <w:rPr>
          <w:rFonts w:cs="Arial"/>
          <w:b/>
          <w:bCs/>
          <w:szCs w:val="16"/>
        </w:rPr>
      </w:pPr>
    </w:p>
    <w:p w14:paraId="2135610D" w14:textId="77777777" w:rsidR="00D21F29" w:rsidRPr="00597743" w:rsidRDefault="00D21F29" w:rsidP="00D21F29">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7734"/>
        <w:gridCol w:w="3056"/>
      </w:tblGrid>
      <w:tr w:rsidR="00D21F29" w:rsidRPr="00597743" w14:paraId="67DD2033"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17D8EA8B" w14:textId="77777777" w:rsidR="00D21F29" w:rsidRPr="00597743" w:rsidRDefault="00D21F29">
            <w:pPr>
              <w:rPr>
                <w:rFonts w:cs="Arial"/>
                <w:b/>
                <w:bCs/>
                <w:szCs w:val="16"/>
              </w:rPr>
            </w:pPr>
            <w:r w:rsidRPr="00597743">
              <w:rPr>
                <w:rFonts w:cs="Arial"/>
                <w:b/>
                <w:bCs/>
                <w:szCs w:val="16"/>
              </w:rPr>
              <w:t xml:space="preserve">(3) Total number of due process complaints filed. </w:t>
            </w:r>
          </w:p>
        </w:tc>
        <w:tc>
          <w:tcPr>
            <w:tcW w:w="1416" w:type="pct"/>
            <w:tcBorders>
              <w:top w:val="single" w:sz="4" w:space="0" w:color="auto"/>
              <w:left w:val="single" w:sz="4" w:space="0" w:color="auto"/>
              <w:bottom w:val="single" w:sz="4" w:space="0" w:color="auto"/>
              <w:right w:val="single" w:sz="4" w:space="0" w:color="auto"/>
            </w:tcBorders>
          </w:tcPr>
          <w:p w14:paraId="77AAA086" w14:textId="77777777" w:rsidR="00D21F29" w:rsidRPr="00597743" w:rsidRDefault="00D21F29">
            <w:pPr>
              <w:rPr>
                <w:rFonts w:cs="Arial"/>
                <w:szCs w:val="16"/>
              </w:rPr>
            </w:pPr>
            <w:r w:rsidRPr="00597743">
              <w:rPr>
                <w:rFonts w:cs="Arial"/>
                <w:szCs w:val="16"/>
              </w:rPr>
              <w:t>0</w:t>
            </w:r>
          </w:p>
        </w:tc>
      </w:tr>
      <w:tr w:rsidR="00D21F29" w:rsidRPr="00597743" w14:paraId="3D15C5F1"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2929378B" w14:textId="77777777" w:rsidR="00D21F29" w:rsidRPr="00597743" w:rsidRDefault="00D21F29">
            <w:pPr>
              <w:rPr>
                <w:rFonts w:cs="Arial"/>
                <w:szCs w:val="16"/>
              </w:rPr>
            </w:pPr>
            <w:r w:rsidRPr="00597743">
              <w:rPr>
                <w:rFonts w:cs="Arial"/>
                <w:szCs w:val="16"/>
              </w:rPr>
              <w:t xml:space="preserve">Has your state adopted Part C due process hearing procedures under 34 CFR 303.430(d)(1) or Part B due process hearing procedures under 34 CFR </w:t>
            </w:r>
            <w:proofErr w:type="gramStart"/>
            <w:r w:rsidRPr="00597743">
              <w:rPr>
                <w:rFonts w:cs="Arial"/>
                <w:szCs w:val="16"/>
              </w:rPr>
              <w:t>303.430(d)</w:t>
            </w:r>
            <w:proofErr w:type="gramEnd"/>
            <w:r w:rsidRPr="00597743">
              <w:rPr>
                <w:rFonts w:cs="Arial"/>
                <w:szCs w:val="16"/>
              </w:rPr>
              <w:t>(2)?</w:t>
            </w:r>
          </w:p>
        </w:tc>
        <w:tc>
          <w:tcPr>
            <w:tcW w:w="1416" w:type="pct"/>
            <w:tcBorders>
              <w:top w:val="single" w:sz="4" w:space="0" w:color="auto"/>
              <w:left w:val="single" w:sz="4" w:space="0" w:color="auto"/>
              <w:bottom w:val="single" w:sz="4" w:space="0" w:color="auto"/>
              <w:right w:val="single" w:sz="4" w:space="0" w:color="auto"/>
            </w:tcBorders>
          </w:tcPr>
          <w:p w14:paraId="2D44A25E" w14:textId="77777777" w:rsidR="00D21F29" w:rsidRPr="00597743" w:rsidRDefault="00D21F29">
            <w:pPr>
              <w:rPr>
                <w:rFonts w:cs="Arial"/>
                <w:szCs w:val="16"/>
              </w:rPr>
            </w:pPr>
            <w:r w:rsidRPr="00597743">
              <w:rPr>
                <w:rFonts w:cs="Arial"/>
                <w:szCs w:val="16"/>
              </w:rPr>
              <w:t>PARTB</w:t>
            </w:r>
          </w:p>
        </w:tc>
      </w:tr>
      <w:tr w:rsidR="00D21F29" w:rsidRPr="00597743" w14:paraId="32D5EA98"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07578792" w14:textId="77777777" w:rsidR="00D21F29" w:rsidRPr="00597743" w:rsidRDefault="00D21F29">
            <w:pPr>
              <w:rPr>
                <w:rFonts w:cs="Arial"/>
                <w:szCs w:val="16"/>
              </w:rPr>
            </w:pPr>
            <w:r w:rsidRPr="00597743">
              <w:rPr>
                <w:rFonts w:cs="Arial"/>
                <w:szCs w:val="16"/>
              </w:rPr>
              <w:t>(3.1) Resolution meetings (applicable ONLY for states using Part B due process hearing procedures).</w:t>
            </w:r>
          </w:p>
        </w:tc>
        <w:tc>
          <w:tcPr>
            <w:tcW w:w="1416" w:type="pct"/>
            <w:tcBorders>
              <w:top w:val="single" w:sz="4" w:space="0" w:color="auto"/>
              <w:left w:val="single" w:sz="4" w:space="0" w:color="auto"/>
              <w:bottom w:val="single" w:sz="4" w:space="0" w:color="auto"/>
              <w:right w:val="single" w:sz="4" w:space="0" w:color="auto"/>
            </w:tcBorders>
          </w:tcPr>
          <w:p w14:paraId="43F8976C" w14:textId="77777777" w:rsidR="00D21F29" w:rsidRPr="00597743" w:rsidRDefault="00D21F29">
            <w:pPr>
              <w:rPr>
                <w:rFonts w:cs="Arial"/>
                <w:szCs w:val="16"/>
              </w:rPr>
            </w:pPr>
            <w:r w:rsidRPr="00597743">
              <w:rPr>
                <w:rFonts w:cs="Arial"/>
                <w:szCs w:val="16"/>
              </w:rPr>
              <w:t>0</w:t>
            </w:r>
          </w:p>
        </w:tc>
      </w:tr>
      <w:tr w:rsidR="00D21F29" w:rsidRPr="00597743" w14:paraId="6D21C99C"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53959352" w14:textId="77777777" w:rsidR="00D21F29" w:rsidRPr="00597743" w:rsidRDefault="00D21F29">
            <w:pPr>
              <w:rPr>
                <w:rFonts w:cs="Arial"/>
                <w:szCs w:val="16"/>
              </w:rPr>
            </w:pPr>
            <w:r w:rsidRPr="00597743">
              <w:rPr>
                <w:rFonts w:cs="Arial"/>
                <w:szCs w:val="16"/>
              </w:rPr>
              <w:t xml:space="preserve">(3.1) (a) Written settlement agreements reached through resolution meetings. </w:t>
            </w:r>
          </w:p>
        </w:tc>
        <w:tc>
          <w:tcPr>
            <w:tcW w:w="1416" w:type="pct"/>
            <w:tcBorders>
              <w:top w:val="single" w:sz="4" w:space="0" w:color="auto"/>
              <w:left w:val="single" w:sz="4" w:space="0" w:color="auto"/>
              <w:bottom w:val="single" w:sz="4" w:space="0" w:color="auto"/>
              <w:right w:val="single" w:sz="4" w:space="0" w:color="auto"/>
            </w:tcBorders>
          </w:tcPr>
          <w:p w14:paraId="2C41A348" w14:textId="77777777" w:rsidR="00D21F29" w:rsidRPr="00597743" w:rsidRDefault="00D21F29">
            <w:pPr>
              <w:rPr>
                <w:rFonts w:cs="Arial"/>
                <w:szCs w:val="16"/>
              </w:rPr>
            </w:pPr>
            <w:r w:rsidRPr="00597743">
              <w:rPr>
                <w:rFonts w:cs="Arial"/>
                <w:szCs w:val="16"/>
              </w:rPr>
              <w:t>0</w:t>
            </w:r>
          </w:p>
        </w:tc>
      </w:tr>
      <w:tr w:rsidR="00D21F29" w:rsidRPr="00597743" w14:paraId="61F7CB47"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44405850" w14:textId="77777777" w:rsidR="00D21F29" w:rsidRPr="00597743" w:rsidRDefault="00D21F29">
            <w:pPr>
              <w:rPr>
                <w:rFonts w:cs="Arial"/>
                <w:szCs w:val="16"/>
              </w:rPr>
            </w:pPr>
            <w:r w:rsidRPr="00597743">
              <w:rPr>
                <w:rFonts w:cs="Arial"/>
                <w:szCs w:val="16"/>
              </w:rPr>
              <w:t xml:space="preserve">(3.2) Hearings fully adjudicated. </w:t>
            </w:r>
          </w:p>
        </w:tc>
        <w:tc>
          <w:tcPr>
            <w:tcW w:w="1416" w:type="pct"/>
            <w:tcBorders>
              <w:top w:val="single" w:sz="4" w:space="0" w:color="auto"/>
              <w:left w:val="single" w:sz="4" w:space="0" w:color="auto"/>
              <w:bottom w:val="single" w:sz="4" w:space="0" w:color="auto"/>
              <w:right w:val="single" w:sz="4" w:space="0" w:color="auto"/>
            </w:tcBorders>
          </w:tcPr>
          <w:p w14:paraId="7388CB9A" w14:textId="77777777" w:rsidR="00D21F29" w:rsidRPr="00597743" w:rsidRDefault="00D21F29">
            <w:pPr>
              <w:rPr>
                <w:rFonts w:cs="Arial"/>
                <w:szCs w:val="16"/>
              </w:rPr>
            </w:pPr>
            <w:r w:rsidRPr="00597743">
              <w:rPr>
                <w:rFonts w:cs="Arial"/>
                <w:szCs w:val="16"/>
              </w:rPr>
              <w:t>0</w:t>
            </w:r>
          </w:p>
        </w:tc>
      </w:tr>
      <w:tr w:rsidR="00D21F29" w:rsidRPr="00597743" w14:paraId="2F8BF9FC"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7A3E5834" w14:textId="77777777" w:rsidR="00D21F29" w:rsidRPr="00597743" w:rsidRDefault="00D21F29">
            <w:pPr>
              <w:rPr>
                <w:rFonts w:cs="Arial"/>
                <w:szCs w:val="16"/>
              </w:rPr>
            </w:pPr>
            <w:r w:rsidRPr="00597743">
              <w:rPr>
                <w:rFonts w:cs="Arial"/>
                <w:szCs w:val="16"/>
              </w:rPr>
              <w:t xml:space="preserve">(3.2) (a) Decisions within timeline. </w:t>
            </w:r>
          </w:p>
        </w:tc>
        <w:tc>
          <w:tcPr>
            <w:tcW w:w="1416" w:type="pct"/>
            <w:tcBorders>
              <w:top w:val="single" w:sz="4" w:space="0" w:color="auto"/>
              <w:left w:val="single" w:sz="4" w:space="0" w:color="auto"/>
              <w:bottom w:val="single" w:sz="4" w:space="0" w:color="auto"/>
              <w:right w:val="single" w:sz="4" w:space="0" w:color="auto"/>
            </w:tcBorders>
          </w:tcPr>
          <w:p w14:paraId="44CAB4EE" w14:textId="77777777" w:rsidR="00D21F29" w:rsidRPr="00597743" w:rsidRDefault="00D21F29">
            <w:pPr>
              <w:rPr>
                <w:rFonts w:cs="Arial"/>
                <w:szCs w:val="16"/>
              </w:rPr>
            </w:pPr>
            <w:r w:rsidRPr="00597743">
              <w:rPr>
                <w:rFonts w:cs="Arial"/>
                <w:szCs w:val="16"/>
              </w:rPr>
              <w:t>0</w:t>
            </w:r>
          </w:p>
        </w:tc>
      </w:tr>
      <w:tr w:rsidR="00D21F29" w:rsidRPr="00597743" w14:paraId="2F35DCF5"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28020520" w14:textId="77777777" w:rsidR="00D21F29" w:rsidRPr="00597743" w:rsidRDefault="00D21F29">
            <w:pPr>
              <w:rPr>
                <w:rFonts w:cs="Arial"/>
                <w:szCs w:val="16"/>
              </w:rPr>
            </w:pPr>
            <w:r w:rsidRPr="00597743">
              <w:rPr>
                <w:rFonts w:cs="Arial"/>
                <w:szCs w:val="16"/>
              </w:rPr>
              <w:t>(3.2) (b) Decisions within extended timeline.</w:t>
            </w:r>
          </w:p>
        </w:tc>
        <w:tc>
          <w:tcPr>
            <w:tcW w:w="1416" w:type="pct"/>
            <w:tcBorders>
              <w:top w:val="single" w:sz="4" w:space="0" w:color="auto"/>
              <w:left w:val="single" w:sz="4" w:space="0" w:color="auto"/>
              <w:bottom w:val="single" w:sz="4" w:space="0" w:color="auto"/>
              <w:right w:val="single" w:sz="4" w:space="0" w:color="auto"/>
            </w:tcBorders>
          </w:tcPr>
          <w:p w14:paraId="708B6886" w14:textId="77777777" w:rsidR="00D21F29" w:rsidRPr="00597743" w:rsidRDefault="00D21F29">
            <w:pPr>
              <w:rPr>
                <w:rFonts w:cs="Arial"/>
                <w:szCs w:val="16"/>
              </w:rPr>
            </w:pPr>
            <w:r w:rsidRPr="00597743">
              <w:rPr>
                <w:rFonts w:cs="Arial"/>
                <w:szCs w:val="16"/>
              </w:rPr>
              <w:t>0</w:t>
            </w:r>
          </w:p>
        </w:tc>
      </w:tr>
      <w:tr w:rsidR="00D21F29" w:rsidRPr="00597743" w14:paraId="005D6C39"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406A7BA5" w14:textId="77777777" w:rsidR="00D21F29" w:rsidRPr="00597743" w:rsidRDefault="00D21F29">
            <w:pPr>
              <w:rPr>
                <w:rFonts w:cs="Arial"/>
                <w:szCs w:val="16"/>
              </w:rPr>
            </w:pPr>
            <w:r w:rsidRPr="00597743">
              <w:rPr>
                <w:rFonts w:cs="Arial"/>
                <w:szCs w:val="16"/>
              </w:rPr>
              <w:t xml:space="preserve">(3.3) Hearings pending. </w:t>
            </w:r>
          </w:p>
        </w:tc>
        <w:tc>
          <w:tcPr>
            <w:tcW w:w="1416" w:type="pct"/>
            <w:tcBorders>
              <w:top w:val="single" w:sz="4" w:space="0" w:color="auto"/>
              <w:left w:val="single" w:sz="4" w:space="0" w:color="auto"/>
              <w:bottom w:val="single" w:sz="4" w:space="0" w:color="auto"/>
              <w:right w:val="single" w:sz="4" w:space="0" w:color="auto"/>
            </w:tcBorders>
          </w:tcPr>
          <w:p w14:paraId="50163E36" w14:textId="77777777" w:rsidR="00D21F29" w:rsidRPr="00597743" w:rsidRDefault="00D21F29">
            <w:pPr>
              <w:rPr>
                <w:rFonts w:cs="Arial"/>
                <w:szCs w:val="16"/>
              </w:rPr>
            </w:pPr>
            <w:r w:rsidRPr="00597743">
              <w:rPr>
                <w:rFonts w:cs="Arial"/>
                <w:szCs w:val="16"/>
              </w:rPr>
              <w:t>0</w:t>
            </w:r>
          </w:p>
        </w:tc>
      </w:tr>
      <w:tr w:rsidR="00D21F29" w:rsidRPr="00597743" w14:paraId="600C08DB"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B0D6894" w14:textId="77777777" w:rsidR="00D21F29" w:rsidRPr="00597743" w:rsidRDefault="00D21F29">
            <w:pPr>
              <w:rPr>
                <w:rFonts w:cs="Arial"/>
                <w:szCs w:val="16"/>
              </w:rPr>
            </w:pPr>
            <w:r w:rsidRPr="00597743">
              <w:rPr>
                <w:rFonts w:cs="Arial"/>
                <w:szCs w:val="16"/>
              </w:rPr>
              <w:t xml:space="preserve">(3.4) Due </w:t>
            </w:r>
            <w:proofErr w:type="gramStart"/>
            <w:r w:rsidRPr="00597743">
              <w:rPr>
                <w:rFonts w:cs="Arial"/>
                <w:szCs w:val="16"/>
              </w:rPr>
              <w:t>process</w:t>
            </w:r>
            <w:proofErr w:type="gramEnd"/>
            <w:r w:rsidRPr="00597743">
              <w:rPr>
                <w:rFonts w:cs="Arial"/>
                <w:szCs w:val="16"/>
              </w:rPr>
              <w:t xml:space="preserve"> complaints withdrawn or dismissed (including resolved without </w:t>
            </w:r>
            <w:proofErr w:type="gramStart"/>
            <w:r w:rsidRPr="00597743">
              <w:rPr>
                <w:rFonts w:cs="Arial"/>
                <w:szCs w:val="16"/>
              </w:rPr>
              <w:t>a hearing</w:t>
            </w:r>
            <w:proofErr w:type="gramEnd"/>
            <w:r w:rsidRPr="00597743">
              <w:rPr>
                <w:rFonts w:cs="Arial"/>
                <w:szCs w:val="16"/>
              </w:rPr>
              <w:t>).</w:t>
            </w:r>
          </w:p>
        </w:tc>
        <w:tc>
          <w:tcPr>
            <w:tcW w:w="1416" w:type="pct"/>
            <w:tcBorders>
              <w:top w:val="single" w:sz="4" w:space="0" w:color="auto"/>
              <w:left w:val="single" w:sz="4" w:space="0" w:color="auto"/>
              <w:bottom w:val="single" w:sz="4" w:space="0" w:color="auto"/>
              <w:right w:val="single" w:sz="4" w:space="0" w:color="auto"/>
            </w:tcBorders>
          </w:tcPr>
          <w:p w14:paraId="6C71AD23" w14:textId="77777777" w:rsidR="00D21F29" w:rsidRPr="00597743" w:rsidRDefault="00D21F29">
            <w:pPr>
              <w:rPr>
                <w:rFonts w:cs="Arial"/>
                <w:szCs w:val="16"/>
              </w:rPr>
            </w:pPr>
            <w:r w:rsidRPr="00597743">
              <w:rPr>
                <w:rFonts w:cs="Arial"/>
                <w:szCs w:val="16"/>
              </w:rPr>
              <w:t>0</w:t>
            </w:r>
          </w:p>
        </w:tc>
      </w:tr>
    </w:tbl>
    <w:p w14:paraId="48BC9E30" w14:textId="77777777" w:rsidR="00D21F29" w:rsidRPr="00597743" w:rsidRDefault="00D21F29" w:rsidP="00D21F29">
      <w:pPr>
        <w:spacing w:before="0" w:after="0"/>
      </w:pPr>
    </w:p>
    <w:p w14:paraId="070D6F1B" w14:textId="77777777" w:rsidR="005E10AF" w:rsidRPr="005E10AF" w:rsidRDefault="00D21F29" w:rsidP="005E10AF">
      <w:pPr>
        <w:spacing w:before="0" w:after="0"/>
        <w:rPr>
          <w:b/>
          <w:bCs/>
        </w:rPr>
      </w:pPr>
      <w:r w:rsidRPr="005E10AF">
        <w:rPr>
          <w:b/>
          <w:bCs/>
        </w:rPr>
        <w:t>This report shows the most recent data that was entered by:</w:t>
      </w:r>
    </w:p>
    <w:p w14:paraId="296C2638" w14:textId="77777777" w:rsidR="005E10AF" w:rsidRDefault="00D21F29" w:rsidP="00D21F29">
      <w:pPr>
        <w:spacing w:before="0" w:after="200" w:line="276" w:lineRule="auto"/>
      </w:pPr>
      <w:r w:rsidRPr="00597743">
        <w:t>Tennessee</w:t>
      </w:r>
    </w:p>
    <w:p w14:paraId="3502E9CB" w14:textId="77777777" w:rsidR="005E10AF" w:rsidRPr="005E10AF" w:rsidRDefault="00D21F29" w:rsidP="005E10AF">
      <w:pPr>
        <w:spacing w:before="0" w:after="0"/>
        <w:rPr>
          <w:b/>
          <w:bCs/>
        </w:rPr>
      </w:pPr>
      <w:r w:rsidRPr="005E10AF">
        <w:rPr>
          <w:b/>
          <w:bCs/>
        </w:rPr>
        <w:t>These data were extracted on the close date:</w:t>
      </w:r>
    </w:p>
    <w:p w14:paraId="4BCFD41B" w14:textId="77777777" w:rsidR="00947802" w:rsidRDefault="00D21F29" w:rsidP="00D21F29">
      <w:pPr>
        <w:spacing w:before="0" w:after="200" w:line="276" w:lineRule="auto"/>
        <w:sectPr w:rsidR="00947802" w:rsidSect="00947802">
          <w:type w:val="continuous"/>
          <w:pgSz w:w="12240" w:h="15840" w:code="1"/>
          <w:pgMar w:top="720" w:right="720" w:bottom="720" w:left="720" w:header="0" w:footer="446" w:gutter="0"/>
          <w:cols w:space="720"/>
          <w:docGrid w:linePitch="218"/>
        </w:sectPr>
      </w:pPr>
      <w:r w:rsidRPr="00597743">
        <w:t>11/19/2025</w:t>
      </w:r>
      <w:bookmarkEnd w:id="91"/>
    </w:p>
    <w:p w14:paraId="7F08F4F5" w14:textId="77777777" w:rsidR="009B4E7F" w:rsidRDefault="009B4E7F" w:rsidP="00D21F29">
      <w:pPr>
        <w:spacing w:before="0" w:after="200" w:line="276" w:lineRule="auto"/>
      </w:pPr>
    </w:p>
    <w:sectPr w:rsidR="009B4E7F" w:rsidSect="00DE3712">
      <w:headerReference w:type="default" r:id="rId14"/>
      <w:footerReference w:type="default" r:id="rId15"/>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6ED7" w14:textId="77777777" w:rsidR="00E17956" w:rsidRDefault="00E17956" w:rsidP="000802F7">
      <w:pPr>
        <w:spacing w:before="0" w:after="0"/>
      </w:pPr>
      <w:r>
        <w:separator/>
      </w:r>
    </w:p>
  </w:endnote>
  <w:endnote w:type="continuationSeparator" w:id="0">
    <w:p w14:paraId="003CA6CC" w14:textId="77777777" w:rsidR="00E17956" w:rsidRDefault="00E17956" w:rsidP="000802F7">
      <w:pPr>
        <w:spacing w:before="0" w:after="0"/>
      </w:pPr>
      <w:r>
        <w:continuationSeparator/>
      </w:r>
    </w:p>
  </w:endnote>
  <w:endnote w:type="continuationNotice" w:id="1">
    <w:p w14:paraId="37202956" w14:textId="77777777" w:rsidR="00E17956" w:rsidRDefault="00E179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4676CC28" w14:textId="77777777"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77929872" w14:textId="77777777"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91206"/>
      <w:docPartObj>
        <w:docPartGallery w:val="Page Numbers (Bottom of Page)"/>
        <w:docPartUnique/>
      </w:docPartObj>
    </w:sdtPr>
    <w:sdtEndPr>
      <w:rPr>
        <w:noProof/>
      </w:rPr>
    </w:sdtEndPr>
    <w:sdtContent>
      <w:sdt>
        <w:sdtPr>
          <w:id w:val="1605686203"/>
          <w:docPartObj>
            <w:docPartGallery w:val="Page Numbers (Bottom of Page)"/>
            <w:docPartUnique/>
          </w:docPartObj>
        </w:sdtPr>
        <w:sdtEndPr>
          <w:rPr>
            <w:noProof/>
          </w:rPr>
        </w:sdtEndPr>
        <w:sdtContent>
          <w:p w14:paraId="47EC3835" w14:textId="77777777" w:rsidR="0082602C" w:rsidRPr="00A20642" w:rsidRDefault="0082602C"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92A4" w14:textId="77777777" w:rsidR="00E17956" w:rsidRDefault="00E17956" w:rsidP="000802F7">
      <w:pPr>
        <w:spacing w:before="0" w:after="0"/>
      </w:pPr>
      <w:r>
        <w:separator/>
      </w:r>
    </w:p>
  </w:footnote>
  <w:footnote w:type="continuationSeparator" w:id="0">
    <w:p w14:paraId="5312EE1D" w14:textId="77777777" w:rsidR="00E17956" w:rsidRDefault="00E17956" w:rsidP="000802F7">
      <w:pPr>
        <w:spacing w:before="0" w:after="0"/>
      </w:pPr>
      <w:r>
        <w:continuationSeparator/>
      </w:r>
    </w:p>
  </w:footnote>
  <w:footnote w:type="continuationNotice" w:id="1">
    <w:p w14:paraId="45A3A22A" w14:textId="77777777" w:rsidR="00E17956" w:rsidRDefault="00E179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3E1C" w14:textId="77777777" w:rsidR="0082602C" w:rsidRDefault="0082602C"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4"/>
  </w:num>
  <w:num w:numId="2" w16cid:durableId="1005667031">
    <w:abstractNumId w:val="30"/>
  </w:num>
  <w:num w:numId="3" w16cid:durableId="1059286313">
    <w:abstractNumId w:val="16"/>
  </w:num>
  <w:num w:numId="4" w16cid:durableId="392893652">
    <w:abstractNumId w:val="15"/>
  </w:num>
  <w:num w:numId="5" w16cid:durableId="1270743283">
    <w:abstractNumId w:val="33"/>
  </w:num>
  <w:num w:numId="6" w16cid:durableId="726077527">
    <w:abstractNumId w:val="0"/>
  </w:num>
  <w:num w:numId="7" w16cid:durableId="80951006">
    <w:abstractNumId w:val="1"/>
  </w:num>
  <w:num w:numId="8" w16cid:durableId="712341255">
    <w:abstractNumId w:val="27"/>
  </w:num>
  <w:num w:numId="9" w16cid:durableId="334263192">
    <w:abstractNumId w:val="23"/>
  </w:num>
  <w:num w:numId="10" w16cid:durableId="1321931414">
    <w:abstractNumId w:val="8"/>
  </w:num>
  <w:num w:numId="11" w16cid:durableId="819927582">
    <w:abstractNumId w:val="7"/>
  </w:num>
  <w:num w:numId="12" w16cid:durableId="1834222315">
    <w:abstractNumId w:val="12"/>
  </w:num>
  <w:num w:numId="13" w16cid:durableId="1727988286">
    <w:abstractNumId w:val="19"/>
  </w:num>
  <w:num w:numId="14" w16cid:durableId="338777892">
    <w:abstractNumId w:val="18"/>
  </w:num>
  <w:num w:numId="15" w16cid:durableId="537395629">
    <w:abstractNumId w:val="22"/>
  </w:num>
  <w:num w:numId="16" w16cid:durableId="1455634041">
    <w:abstractNumId w:val="28"/>
  </w:num>
  <w:num w:numId="17" w16cid:durableId="1685550335">
    <w:abstractNumId w:val="9"/>
  </w:num>
  <w:num w:numId="18" w16cid:durableId="266931805">
    <w:abstractNumId w:val="13"/>
  </w:num>
  <w:num w:numId="19" w16cid:durableId="1685086607">
    <w:abstractNumId w:val="31"/>
  </w:num>
  <w:num w:numId="20" w16cid:durableId="921258589">
    <w:abstractNumId w:val="20"/>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994804">
    <w:abstractNumId w:val="24"/>
  </w:num>
  <w:num w:numId="29" w16cid:durableId="670791198">
    <w:abstractNumId w:val="21"/>
  </w:num>
  <w:num w:numId="30" w16cid:durableId="1098330738">
    <w:abstractNumId w:val="25"/>
  </w:num>
  <w:num w:numId="31" w16cid:durableId="2134980757">
    <w:abstractNumId w:val="26"/>
  </w:num>
  <w:num w:numId="32" w16cid:durableId="1723872174">
    <w:abstractNumId w:val="17"/>
  </w:num>
  <w:num w:numId="33" w16cid:durableId="1549799523">
    <w:abstractNumId w:val="6"/>
  </w:num>
  <w:num w:numId="34" w16cid:durableId="1246038693">
    <w:abstractNumId w:val="29"/>
  </w:num>
  <w:num w:numId="35" w16cid:durableId="776022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t1c2jdLrkjQKXwZEz/RxRlcemV7EUEwJRYs4Y9s7q/6LnPPKI6jtfw5DY2obkJ9dMh9wQ5UJ+NhGxMn8G5aqTQ==" w:salt="NotFk8gp678bCSsk++8q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5A9"/>
    <w:rsid w:val="00004700"/>
    <w:rsid w:val="00004E61"/>
    <w:rsid w:val="000060A9"/>
    <w:rsid w:val="00006354"/>
    <w:rsid w:val="00010158"/>
    <w:rsid w:val="00010D0F"/>
    <w:rsid w:val="0001126B"/>
    <w:rsid w:val="00011778"/>
    <w:rsid w:val="000119D7"/>
    <w:rsid w:val="00011F5F"/>
    <w:rsid w:val="0001214A"/>
    <w:rsid w:val="000123EB"/>
    <w:rsid w:val="0001275E"/>
    <w:rsid w:val="00012CFF"/>
    <w:rsid w:val="00012EB2"/>
    <w:rsid w:val="00012FE7"/>
    <w:rsid w:val="00013004"/>
    <w:rsid w:val="00013420"/>
    <w:rsid w:val="000135C2"/>
    <w:rsid w:val="00013989"/>
    <w:rsid w:val="00014171"/>
    <w:rsid w:val="00014550"/>
    <w:rsid w:val="00014552"/>
    <w:rsid w:val="0001550D"/>
    <w:rsid w:val="00015D55"/>
    <w:rsid w:val="0001707D"/>
    <w:rsid w:val="00017826"/>
    <w:rsid w:val="000179AC"/>
    <w:rsid w:val="00017FA6"/>
    <w:rsid w:val="000203F5"/>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6982"/>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5D83"/>
    <w:rsid w:val="000477FF"/>
    <w:rsid w:val="00047BB6"/>
    <w:rsid w:val="00047DA0"/>
    <w:rsid w:val="0005031F"/>
    <w:rsid w:val="000533D7"/>
    <w:rsid w:val="00053A33"/>
    <w:rsid w:val="0005400A"/>
    <w:rsid w:val="00054582"/>
    <w:rsid w:val="000545D2"/>
    <w:rsid w:val="00054A60"/>
    <w:rsid w:val="00054FA8"/>
    <w:rsid w:val="000550D9"/>
    <w:rsid w:val="000552BC"/>
    <w:rsid w:val="00055E80"/>
    <w:rsid w:val="00055FC7"/>
    <w:rsid w:val="000564AC"/>
    <w:rsid w:val="00061896"/>
    <w:rsid w:val="000618B4"/>
    <w:rsid w:val="00061AB2"/>
    <w:rsid w:val="00061B0D"/>
    <w:rsid w:val="00061F73"/>
    <w:rsid w:val="000629B8"/>
    <w:rsid w:val="00063C71"/>
    <w:rsid w:val="00063CB9"/>
    <w:rsid w:val="0006466C"/>
    <w:rsid w:val="00064809"/>
    <w:rsid w:val="00064AB6"/>
    <w:rsid w:val="00064BA4"/>
    <w:rsid w:val="00064C9A"/>
    <w:rsid w:val="00065224"/>
    <w:rsid w:val="00066166"/>
    <w:rsid w:val="00067883"/>
    <w:rsid w:val="00067C04"/>
    <w:rsid w:val="00067F9F"/>
    <w:rsid w:val="00070330"/>
    <w:rsid w:val="000709B9"/>
    <w:rsid w:val="000714F7"/>
    <w:rsid w:val="000727A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0569"/>
    <w:rsid w:val="000A0A95"/>
    <w:rsid w:val="000A0FB4"/>
    <w:rsid w:val="000A1594"/>
    <w:rsid w:val="000A170A"/>
    <w:rsid w:val="000A202B"/>
    <w:rsid w:val="000A2477"/>
    <w:rsid w:val="000A2C40"/>
    <w:rsid w:val="000A2E95"/>
    <w:rsid w:val="000A364E"/>
    <w:rsid w:val="000A495D"/>
    <w:rsid w:val="000A4CDC"/>
    <w:rsid w:val="000A4FD8"/>
    <w:rsid w:val="000A5E4B"/>
    <w:rsid w:val="000A62BB"/>
    <w:rsid w:val="000A6CA4"/>
    <w:rsid w:val="000A7001"/>
    <w:rsid w:val="000A70DC"/>
    <w:rsid w:val="000A730B"/>
    <w:rsid w:val="000B050E"/>
    <w:rsid w:val="000B10B1"/>
    <w:rsid w:val="000B179D"/>
    <w:rsid w:val="000B1C67"/>
    <w:rsid w:val="000B2A1C"/>
    <w:rsid w:val="000B2C26"/>
    <w:rsid w:val="000B3A11"/>
    <w:rsid w:val="000B3B4A"/>
    <w:rsid w:val="000B4AE7"/>
    <w:rsid w:val="000B4BBE"/>
    <w:rsid w:val="000B4FD4"/>
    <w:rsid w:val="000B5F13"/>
    <w:rsid w:val="000B7462"/>
    <w:rsid w:val="000B7B9F"/>
    <w:rsid w:val="000C0069"/>
    <w:rsid w:val="000C03A4"/>
    <w:rsid w:val="000C1C56"/>
    <w:rsid w:val="000C2444"/>
    <w:rsid w:val="000C2AED"/>
    <w:rsid w:val="000C32ED"/>
    <w:rsid w:val="000C3421"/>
    <w:rsid w:val="000C57BE"/>
    <w:rsid w:val="000C5918"/>
    <w:rsid w:val="000C5A7A"/>
    <w:rsid w:val="000C6015"/>
    <w:rsid w:val="000C6763"/>
    <w:rsid w:val="000C688B"/>
    <w:rsid w:val="000C6B64"/>
    <w:rsid w:val="000C7481"/>
    <w:rsid w:val="000D0117"/>
    <w:rsid w:val="000D0843"/>
    <w:rsid w:val="000D09F9"/>
    <w:rsid w:val="000D1181"/>
    <w:rsid w:val="000D1580"/>
    <w:rsid w:val="000D1C21"/>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136"/>
    <w:rsid w:val="000F0525"/>
    <w:rsid w:val="000F1686"/>
    <w:rsid w:val="000F1858"/>
    <w:rsid w:val="000F19D5"/>
    <w:rsid w:val="000F1FED"/>
    <w:rsid w:val="000F27DB"/>
    <w:rsid w:val="000F3CCC"/>
    <w:rsid w:val="000F3EAA"/>
    <w:rsid w:val="000F435D"/>
    <w:rsid w:val="000F4A31"/>
    <w:rsid w:val="000F4F37"/>
    <w:rsid w:val="000F4FB0"/>
    <w:rsid w:val="000F5814"/>
    <w:rsid w:val="000F593E"/>
    <w:rsid w:val="000F5FCD"/>
    <w:rsid w:val="000F66B8"/>
    <w:rsid w:val="000F670E"/>
    <w:rsid w:val="000F68E8"/>
    <w:rsid w:val="000F7399"/>
    <w:rsid w:val="000F7CF3"/>
    <w:rsid w:val="000F7D53"/>
    <w:rsid w:val="001010F3"/>
    <w:rsid w:val="0010168C"/>
    <w:rsid w:val="00101CA5"/>
    <w:rsid w:val="00101E61"/>
    <w:rsid w:val="001022CB"/>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64F"/>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98C"/>
    <w:rsid w:val="00134C0C"/>
    <w:rsid w:val="001352A9"/>
    <w:rsid w:val="00135576"/>
    <w:rsid w:val="00135C7A"/>
    <w:rsid w:val="00136BE2"/>
    <w:rsid w:val="0014028E"/>
    <w:rsid w:val="00140A8A"/>
    <w:rsid w:val="00141A33"/>
    <w:rsid w:val="00142117"/>
    <w:rsid w:val="00142347"/>
    <w:rsid w:val="0014261C"/>
    <w:rsid w:val="001430AA"/>
    <w:rsid w:val="0014399E"/>
    <w:rsid w:val="00143B57"/>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772"/>
    <w:rsid w:val="00156BF7"/>
    <w:rsid w:val="00157066"/>
    <w:rsid w:val="001600D9"/>
    <w:rsid w:val="001604F3"/>
    <w:rsid w:val="00160856"/>
    <w:rsid w:val="001634E7"/>
    <w:rsid w:val="0016375D"/>
    <w:rsid w:val="001638EB"/>
    <w:rsid w:val="00163944"/>
    <w:rsid w:val="00163BEE"/>
    <w:rsid w:val="00164B78"/>
    <w:rsid w:val="00164FFE"/>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7AE"/>
    <w:rsid w:val="001A2ACC"/>
    <w:rsid w:val="001A2DF3"/>
    <w:rsid w:val="001A342F"/>
    <w:rsid w:val="001A3539"/>
    <w:rsid w:val="001A39BE"/>
    <w:rsid w:val="001A4B29"/>
    <w:rsid w:val="001A4B9B"/>
    <w:rsid w:val="001A5652"/>
    <w:rsid w:val="001A582D"/>
    <w:rsid w:val="001A5EBA"/>
    <w:rsid w:val="001A6472"/>
    <w:rsid w:val="001A6E55"/>
    <w:rsid w:val="001B0473"/>
    <w:rsid w:val="001B1139"/>
    <w:rsid w:val="001B12D3"/>
    <w:rsid w:val="001B1B38"/>
    <w:rsid w:val="001B2224"/>
    <w:rsid w:val="001B2809"/>
    <w:rsid w:val="001B2FDE"/>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E7A90"/>
    <w:rsid w:val="001F1285"/>
    <w:rsid w:val="001F1489"/>
    <w:rsid w:val="001F1921"/>
    <w:rsid w:val="001F1E6E"/>
    <w:rsid w:val="001F2876"/>
    <w:rsid w:val="001F2D64"/>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6DA8"/>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1D56"/>
    <w:rsid w:val="002223BB"/>
    <w:rsid w:val="0022296F"/>
    <w:rsid w:val="00222B7B"/>
    <w:rsid w:val="00223A72"/>
    <w:rsid w:val="00224107"/>
    <w:rsid w:val="002242B8"/>
    <w:rsid w:val="00224D8B"/>
    <w:rsid w:val="00225C04"/>
    <w:rsid w:val="00225CDA"/>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B79"/>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8D3"/>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503"/>
    <w:rsid w:val="002A2966"/>
    <w:rsid w:val="002A2A1B"/>
    <w:rsid w:val="002A2DE2"/>
    <w:rsid w:val="002A3DB5"/>
    <w:rsid w:val="002A43F7"/>
    <w:rsid w:val="002A476C"/>
    <w:rsid w:val="002A51CE"/>
    <w:rsid w:val="002A5A85"/>
    <w:rsid w:val="002A5ACF"/>
    <w:rsid w:val="002A5C3B"/>
    <w:rsid w:val="002A5E26"/>
    <w:rsid w:val="002A5E4E"/>
    <w:rsid w:val="002A6555"/>
    <w:rsid w:val="002A6E26"/>
    <w:rsid w:val="002A723A"/>
    <w:rsid w:val="002A74EF"/>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B3"/>
    <w:rsid w:val="002C5BEF"/>
    <w:rsid w:val="002C68A2"/>
    <w:rsid w:val="002C72EA"/>
    <w:rsid w:val="002D0123"/>
    <w:rsid w:val="002D0922"/>
    <w:rsid w:val="002D1423"/>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88C"/>
    <w:rsid w:val="002F0F0E"/>
    <w:rsid w:val="002F1A9A"/>
    <w:rsid w:val="002F1DE2"/>
    <w:rsid w:val="002F1EC3"/>
    <w:rsid w:val="002F2336"/>
    <w:rsid w:val="002F26D8"/>
    <w:rsid w:val="002F2754"/>
    <w:rsid w:val="002F27B8"/>
    <w:rsid w:val="002F2AB5"/>
    <w:rsid w:val="002F36D7"/>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5EF7"/>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6AE3"/>
    <w:rsid w:val="00317888"/>
    <w:rsid w:val="00320806"/>
    <w:rsid w:val="00321497"/>
    <w:rsid w:val="00321982"/>
    <w:rsid w:val="00321B65"/>
    <w:rsid w:val="00321D4A"/>
    <w:rsid w:val="00322EB5"/>
    <w:rsid w:val="00323065"/>
    <w:rsid w:val="0032334A"/>
    <w:rsid w:val="00323BDD"/>
    <w:rsid w:val="00324430"/>
    <w:rsid w:val="00325F62"/>
    <w:rsid w:val="00326698"/>
    <w:rsid w:val="00326B5B"/>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300B"/>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1B9"/>
    <w:rsid w:val="0039695A"/>
    <w:rsid w:val="003977D8"/>
    <w:rsid w:val="003A07BF"/>
    <w:rsid w:val="003A1055"/>
    <w:rsid w:val="003A12EA"/>
    <w:rsid w:val="003A1D4B"/>
    <w:rsid w:val="003A2612"/>
    <w:rsid w:val="003A2D51"/>
    <w:rsid w:val="003A3693"/>
    <w:rsid w:val="003A380D"/>
    <w:rsid w:val="003A3BF0"/>
    <w:rsid w:val="003A3DF1"/>
    <w:rsid w:val="003A42C4"/>
    <w:rsid w:val="003A42F7"/>
    <w:rsid w:val="003A4794"/>
    <w:rsid w:val="003A4A57"/>
    <w:rsid w:val="003A4C46"/>
    <w:rsid w:val="003A4D11"/>
    <w:rsid w:val="003A4D77"/>
    <w:rsid w:val="003A51A7"/>
    <w:rsid w:val="003A5280"/>
    <w:rsid w:val="003A5701"/>
    <w:rsid w:val="003A59D9"/>
    <w:rsid w:val="003A6862"/>
    <w:rsid w:val="003A692D"/>
    <w:rsid w:val="003A7005"/>
    <w:rsid w:val="003A712B"/>
    <w:rsid w:val="003A7D48"/>
    <w:rsid w:val="003B0840"/>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582D"/>
    <w:rsid w:val="003C6F87"/>
    <w:rsid w:val="003C7251"/>
    <w:rsid w:val="003C7719"/>
    <w:rsid w:val="003C776C"/>
    <w:rsid w:val="003D0040"/>
    <w:rsid w:val="003D02CD"/>
    <w:rsid w:val="003D157C"/>
    <w:rsid w:val="003D2746"/>
    <w:rsid w:val="003D3787"/>
    <w:rsid w:val="003D4AAD"/>
    <w:rsid w:val="003D5FD3"/>
    <w:rsid w:val="003D61B5"/>
    <w:rsid w:val="003D6CFB"/>
    <w:rsid w:val="003D7514"/>
    <w:rsid w:val="003E037C"/>
    <w:rsid w:val="003E059C"/>
    <w:rsid w:val="003E15B9"/>
    <w:rsid w:val="003E1D8E"/>
    <w:rsid w:val="003E28EB"/>
    <w:rsid w:val="003E3B30"/>
    <w:rsid w:val="003E467E"/>
    <w:rsid w:val="003E4CBC"/>
    <w:rsid w:val="003E53BB"/>
    <w:rsid w:val="003E5A6B"/>
    <w:rsid w:val="003E628F"/>
    <w:rsid w:val="003E65F5"/>
    <w:rsid w:val="003E6B9B"/>
    <w:rsid w:val="003F034D"/>
    <w:rsid w:val="003F0F5F"/>
    <w:rsid w:val="003F14BD"/>
    <w:rsid w:val="003F1EF0"/>
    <w:rsid w:val="003F2DBE"/>
    <w:rsid w:val="003F43E4"/>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6250"/>
    <w:rsid w:val="00416EBD"/>
    <w:rsid w:val="004170D0"/>
    <w:rsid w:val="00417111"/>
    <w:rsid w:val="00417A18"/>
    <w:rsid w:val="00420273"/>
    <w:rsid w:val="00420950"/>
    <w:rsid w:val="004216A9"/>
    <w:rsid w:val="00421726"/>
    <w:rsid w:val="00421CA3"/>
    <w:rsid w:val="004227F4"/>
    <w:rsid w:val="00422BEE"/>
    <w:rsid w:val="00422FBD"/>
    <w:rsid w:val="00422FDF"/>
    <w:rsid w:val="00423420"/>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5E16"/>
    <w:rsid w:val="0043678A"/>
    <w:rsid w:val="00436802"/>
    <w:rsid w:val="004371A1"/>
    <w:rsid w:val="00437204"/>
    <w:rsid w:val="004374D6"/>
    <w:rsid w:val="00437F97"/>
    <w:rsid w:val="00440EFA"/>
    <w:rsid w:val="00441096"/>
    <w:rsid w:val="004410A6"/>
    <w:rsid w:val="00441FB4"/>
    <w:rsid w:val="004421DE"/>
    <w:rsid w:val="00442360"/>
    <w:rsid w:val="00442B92"/>
    <w:rsid w:val="004460A6"/>
    <w:rsid w:val="00446689"/>
    <w:rsid w:val="00446CF4"/>
    <w:rsid w:val="00447F6D"/>
    <w:rsid w:val="004501E0"/>
    <w:rsid w:val="004505AF"/>
    <w:rsid w:val="00450B45"/>
    <w:rsid w:val="00450DE8"/>
    <w:rsid w:val="004515C2"/>
    <w:rsid w:val="0045190D"/>
    <w:rsid w:val="00451971"/>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A4"/>
    <w:rsid w:val="0046603A"/>
    <w:rsid w:val="0046611E"/>
    <w:rsid w:val="004662DB"/>
    <w:rsid w:val="00466F85"/>
    <w:rsid w:val="0046709D"/>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4B8"/>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3FBC"/>
    <w:rsid w:val="004A4483"/>
    <w:rsid w:val="004A476A"/>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05F"/>
    <w:rsid w:val="004B4513"/>
    <w:rsid w:val="004B5A00"/>
    <w:rsid w:val="004B6284"/>
    <w:rsid w:val="004B6512"/>
    <w:rsid w:val="004B69B2"/>
    <w:rsid w:val="004B6C0B"/>
    <w:rsid w:val="004B755C"/>
    <w:rsid w:val="004B782D"/>
    <w:rsid w:val="004C1866"/>
    <w:rsid w:val="004C1CEE"/>
    <w:rsid w:val="004C4C71"/>
    <w:rsid w:val="004C5545"/>
    <w:rsid w:val="004C6F4C"/>
    <w:rsid w:val="004C7A3F"/>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543"/>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47D"/>
    <w:rsid w:val="004F2A13"/>
    <w:rsid w:val="004F348D"/>
    <w:rsid w:val="004F34AB"/>
    <w:rsid w:val="004F3C7D"/>
    <w:rsid w:val="004F488B"/>
    <w:rsid w:val="004F494A"/>
    <w:rsid w:val="004F53DE"/>
    <w:rsid w:val="004F5E31"/>
    <w:rsid w:val="004F64DD"/>
    <w:rsid w:val="004F695D"/>
    <w:rsid w:val="004F7463"/>
    <w:rsid w:val="004F756B"/>
    <w:rsid w:val="004F7E56"/>
    <w:rsid w:val="005001A4"/>
    <w:rsid w:val="00500859"/>
    <w:rsid w:val="005010D8"/>
    <w:rsid w:val="005018AB"/>
    <w:rsid w:val="005024FD"/>
    <w:rsid w:val="005032AF"/>
    <w:rsid w:val="005036AB"/>
    <w:rsid w:val="005040C8"/>
    <w:rsid w:val="00504107"/>
    <w:rsid w:val="0050420E"/>
    <w:rsid w:val="005042BD"/>
    <w:rsid w:val="005043ED"/>
    <w:rsid w:val="005046A6"/>
    <w:rsid w:val="00504809"/>
    <w:rsid w:val="00504A61"/>
    <w:rsid w:val="00504D1A"/>
    <w:rsid w:val="00504D31"/>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919"/>
    <w:rsid w:val="00535B05"/>
    <w:rsid w:val="00536507"/>
    <w:rsid w:val="00536749"/>
    <w:rsid w:val="00536947"/>
    <w:rsid w:val="005369EB"/>
    <w:rsid w:val="00536F59"/>
    <w:rsid w:val="00537EE2"/>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BFA"/>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77CE3"/>
    <w:rsid w:val="00581329"/>
    <w:rsid w:val="005816D6"/>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6DB"/>
    <w:rsid w:val="005918D1"/>
    <w:rsid w:val="00591D0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5B87"/>
    <w:rsid w:val="005A7BC0"/>
    <w:rsid w:val="005A7E73"/>
    <w:rsid w:val="005B0A78"/>
    <w:rsid w:val="005B188F"/>
    <w:rsid w:val="005B2415"/>
    <w:rsid w:val="005B2789"/>
    <w:rsid w:val="005B3A9B"/>
    <w:rsid w:val="005B4004"/>
    <w:rsid w:val="005B4FBD"/>
    <w:rsid w:val="005B5169"/>
    <w:rsid w:val="005B5A95"/>
    <w:rsid w:val="005B5DFD"/>
    <w:rsid w:val="005B6725"/>
    <w:rsid w:val="005B7427"/>
    <w:rsid w:val="005B7DDF"/>
    <w:rsid w:val="005C0C52"/>
    <w:rsid w:val="005C14C2"/>
    <w:rsid w:val="005C269E"/>
    <w:rsid w:val="005C2C32"/>
    <w:rsid w:val="005C362A"/>
    <w:rsid w:val="005C3FFD"/>
    <w:rsid w:val="005C4311"/>
    <w:rsid w:val="005C5E18"/>
    <w:rsid w:val="005C6BF5"/>
    <w:rsid w:val="005C6DCB"/>
    <w:rsid w:val="005D0690"/>
    <w:rsid w:val="005D081A"/>
    <w:rsid w:val="005D1F17"/>
    <w:rsid w:val="005D22B2"/>
    <w:rsid w:val="005D37E4"/>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6C0"/>
    <w:rsid w:val="005F38FE"/>
    <w:rsid w:val="005F408F"/>
    <w:rsid w:val="005F4279"/>
    <w:rsid w:val="005F481B"/>
    <w:rsid w:val="005F5010"/>
    <w:rsid w:val="005F5034"/>
    <w:rsid w:val="005F5818"/>
    <w:rsid w:val="005F61B8"/>
    <w:rsid w:val="005F6257"/>
    <w:rsid w:val="005F762F"/>
    <w:rsid w:val="005F7682"/>
    <w:rsid w:val="005F795F"/>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423"/>
    <w:rsid w:val="006076E9"/>
    <w:rsid w:val="006077A7"/>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E42"/>
    <w:rsid w:val="0064716E"/>
    <w:rsid w:val="00647F29"/>
    <w:rsid w:val="00650305"/>
    <w:rsid w:val="00650385"/>
    <w:rsid w:val="00650588"/>
    <w:rsid w:val="00650873"/>
    <w:rsid w:val="006508CC"/>
    <w:rsid w:val="00650CF7"/>
    <w:rsid w:val="00650D52"/>
    <w:rsid w:val="00650E5B"/>
    <w:rsid w:val="006510EC"/>
    <w:rsid w:val="00651137"/>
    <w:rsid w:val="006512CE"/>
    <w:rsid w:val="00651541"/>
    <w:rsid w:val="00652AA7"/>
    <w:rsid w:val="0065340E"/>
    <w:rsid w:val="006535AD"/>
    <w:rsid w:val="00653B49"/>
    <w:rsid w:val="00653D42"/>
    <w:rsid w:val="006544DF"/>
    <w:rsid w:val="0065474E"/>
    <w:rsid w:val="0065501F"/>
    <w:rsid w:val="00655963"/>
    <w:rsid w:val="006561DE"/>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77B7F"/>
    <w:rsid w:val="006800AF"/>
    <w:rsid w:val="00680330"/>
    <w:rsid w:val="00681771"/>
    <w:rsid w:val="006822BE"/>
    <w:rsid w:val="00682424"/>
    <w:rsid w:val="006833AD"/>
    <w:rsid w:val="0068408E"/>
    <w:rsid w:val="00684786"/>
    <w:rsid w:val="00685039"/>
    <w:rsid w:val="006856E6"/>
    <w:rsid w:val="00685BA9"/>
    <w:rsid w:val="0068636B"/>
    <w:rsid w:val="00686ABE"/>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65A5"/>
    <w:rsid w:val="006A728F"/>
    <w:rsid w:val="006A75D3"/>
    <w:rsid w:val="006B03C2"/>
    <w:rsid w:val="006B0ACA"/>
    <w:rsid w:val="006B0F30"/>
    <w:rsid w:val="006B10DC"/>
    <w:rsid w:val="006B1F45"/>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200"/>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1BF2"/>
    <w:rsid w:val="006E3226"/>
    <w:rsid w:val="006E322D"/>
    <w:rsid w:val="006E39C5"/>
    <w:rsid w:val="006E3C43"/>
    <w:rsid w:val="006E4396"/>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546"/>
    <w:rsid w:val="006F4A54"/>
    <w:rsid w:val="006F4BF7"/>
    <w:rsid w:val="006F5957"/>
    <w:rsid w:val="006F66A1"/>
    <w:rsid w:val="006F673C"/>
    <w:rsid w:val="006F6E86"/>
    <w:rsid w:val="006F7459"/>
    <w:rsid w:val="006F79FC"/>
    <w:rsid w:val="006F7BED"/>
    <w:rsid w:val="006F7D1B"/>
    <w:rsid w:val="0070083E"/>
    <w:rsid w:val="00700BCA"/>
    <w:rsid w:val="00700D76"/>
    <w:rsid w:val="00700F54"/>
    <w:rsid w:val="007011EC"/>
    <w:rsid w:val="007016F6"/>
    <w:rsid w:val="00701B5B"/>
    <w:rsid w:val="00702A40"/>
    <w:rsid w:val="0070373C"/>
    <w:rsid w:val="00703A82"/>
    <w:rsid w:val="00703FA0"/>
    <w:rsid w:val="00704C17"/>
    <w:rsid w:val="00704DED"/>
    <w:rsid w:val="007059B2"/>
    <w:rsid w:val="007063F7"/>
    <w:rsid w:val="00706522"/>
    <w:rsid w:val="00706723"/>
    <w:rsid w:val="00707643"/>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1540"/>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4F6B"/>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143"/>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AE7"/>
    <w:rsid w:val="00764FE1"/>
    <w:rsid w:val="0076577B"/>
    <w:rsid w:val="00765C47"/>
    <w:rsid w:val="0076766A"/>
    <w:rsid w:val="00767A2B"/>
    <w:rsid w:val="00767E92"/>
    <w:rsid w:val="00770084"/>
    <w:rsid w:val="007700EC"/>
    <w:rsid w:val="0077028E"/>
    <w:rsid w:val="0077057B"/>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3C0"/>
    <w:rsid w:val="0078491F"/>
    <w:rsid w:val="00784AAF"/>
    <w:rsid w:val="00785280"/>
    <w:rsid w:val="00786521"/>
    <w:rsid w:val="007874BB"/>
    <w:rsid w:val="007876EE"/>
    <w:rsid w:val="00791ADA"/>
    <w:rsid w:val="00791DEB"/>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481D"/>
    <w:rsid w:val="007B5842"/>
    <w:rsid w:val="007B6213"/>
    <w:rsid w:val="007B6842"/>
    <w:rsid w:val="007B6D8E"/>
    <w:rsid w:val="007B7ACE"/>
    <w:rsid w:val="007B7B8F"/>
    <w:rsid w:val="007C08C2"/>
    <w:rsid w:val="007C0DC7"/>
    <w:rsid w:val="007C139C"/>
    <w:rsid w:val="007C1A22"/>
    <w:rsid w:val="007C1AC4"/>
    <w:rsid w:val="007C1FC9"/>
    <w:rsid w:val="007C2607"/>
    <w:rsid w:val="007C2A44"/>
    <w:rsid w:val="007C2A9F"/>
    <w:rsid w:val="007C2B6D"/>
    <w:rsid w:val="007C3268"/>
    <w:rsid w:val="007C32E1"/>
    <w:rsid w:val="007C364C"/>
    <w:rsid w:val="007C3ED8"/>
    <w:rsid w:val="007C4262"/>
    <w:rsid w:val="007C4377"/>
    <w:rsid w:val="007C454A"/>
    <w:rsid w:val="007C5A19"/>
    <w:rsid w:val="007C5C98"/>
    <w:rsid w:val="007C5CB2"/>
    <w:rsid w:val="007D12EA"/>
    <w:rsid w:val="007D1548"/>
    <w:rsid w:val="007D2BB5"/>
    <w:rsid w:val="007D2CBD"/>
    <w:rsid w:val="007D374D"/>
    <w:rsid w:val="007D41F8"/>
    <w:rsid w:val="007D527A"/>
    <w:rsid w:val="007D6635"/>
    <w:rsid w:val="007D798F"/>
    <w:rsid w:val="007D7A3B"/>
    <w:rsid w:val="007E0FCC"/>
    <w:rsid w:val="007E14EE"/>
    <w:rsid w:val="007E1738"/>
    <w:rsid w:val="007E1798"/>
    <w:rsid w:val="007E1F11"/>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EDC"/>
    <w:rsid w:val="00803FBB"/>
    <w:rsid w:val="00804222"/>
    <w:rsid w:val="0080439F"/>
    <w:rsid w:val="008043A8"/>
    <w:rsid w:val="00804BFA"/>
    <w:rsid w:val="00805DD3"/>
    <w:rsid w:val="00807DB1"/>
    <w:rsid w:val="008108AC"/>
    <w:rsid w:val="008115FD"/>
    <w:rsid w:val="0081169C"/>
    <w:rsid w:val="00811738"/>
    <w:rsid w:val="00811A99"/>
    <w:rsid w:val="008124D7"/>
    <w:rsid w:val="0081430E"/>
    <w:rsid w:val="00814341"/>
    <w:rsid w:val="008143DB"/>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02C"/>
    <w:rsid w:val="008263FA"/>
    <w:rsid w:val="00826A26"/>
    <w:rsid w:val="00826D36"/>
    <w:rsid w:val="0082735C"/>
    <w:rsid w:val="008277E7"/>
    <w:rsid w:val="00827B5E"/>
    <w:rsid w:val="00827E27"/>
    <w:rsid w:val="00827EE7"/>
    <w:rsid w:val="00830265"/>
    <w:rsid w:val="008305A8"/>
    <w:rsid w:val="0083111E"/>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563E"/>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2C21"/>
    <w:rsid w:val="00893C59"/>
    <w:rsid w:val="008942E7"/>
    <w:rsid w:val="00894456"/>
    <w:rsid w:val="0089571C"/>
    <w:rsid w:val="008964BF"/>
    <w:rsid w:val="0089674A"/>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41E6"/>
    <w:rsid w:val="008A47A5"/>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2DC"/>
    <w:rsid w:val="008D29B0"/>
    <w:rsid w:val="008D3201"/>
    <w:rsid w:val="008D3349"/>
    <w:rsid w:val="008D3482"/>
    <w:rsid w:val="008D369E"/>
    <w:rsid w:val="008D36D9"/>
    <w:rsid w:val="008D36F3"/>
    <w:rsid w:val="008D433F"/>
    <w:rsid w:val="008D465F"/>
    <w:rsid w:val="008D559F"/>
    <w:rsid w:val="008D619C"/>
    <w:rsid w:val="008D66A2"/>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16B"/>
    <w:rsid w:val="008F0291"/>
    <w:rsid w:val="008F04FB"/>
    <w:rsid w:val="008F09B0"/>
    <w:rsid w:val="008F0A87"/>
    <w:rsid w:val="008F0C8C"/>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61C"/>
    <w:rsid w:val="00903774"/>
    <w:rsid w:val="0090384F"/>
    <w:rsid w:val="00903F23"/>
    <w:rsid w:val="009048B0"/>
    <w:rsid w:val="00904932"/>
    <w:rsid w:val="00904E40"/>
    <w:rsid w:val="00905291"/>
    <w:rsid w:val="00905F26"/>
    <w:rsid w:val="00906CB5"/>
    <w:rsid w:val="00907A9B"/>
    <w:rsid w:val="009102B5"/>
    <w:rsid w:val="00910550"/>
    <w:rsid w:val="00910610"/>
    <w:rsid w:val="00911005"/>
    <w:rsid w:val="00911671"/>
    <w:rsid w:val="009116F0"/>
    <w:rsid w:val="00911700"/>
    <w:rsid w:val="009117F0"/>
    <w:rsid w:val="00911BA2"/>
    <w:rsid w:val="00911E06"/>
    <w:rsid w:val="00911F8E"/>
    <w:rsid w:val="00912551"/>
    <w:rsid w:val="00912B1B"/>
    <w:rsid w:val="00913F1E"/>
    <w:rsid w:val="00914D48"/>
    <w:rsid w:val="009151CD"/>
    <w:rsid w:val="00915491"/>
    <w:rsid w:val="00915D46"/>
    <w:rsid w:val="00916E00"/>
    <w:rsid w:val="009170DE"/>
    <w:rsid w:val="009172F2"/>
    <w:rsid w:val="00917FC3"/>
    <w:rsid w:val="00920AEA"/>
    <w:rsid w:val="00921339"/>
    <w:rsid w:val="00921F40"/>
    <w:rsid w:val="009228C1"/>
    <w:rsid w:val="00922D39"/>
    <w:rsid w:val="00923F2E"/>
    <w:rsid w:val="00924618"/>
    <w:rsid w:val="00924DCE"/>
    <w:rsid w:val="00924FA7"/>
    <w:rsid w:val="009255E5"/>
    <w:rsid w:val="00925847"/>
    <w:rsid w:val="00926667"/>
    <w:rsid w:val="00926B3C"/>
    <w:rsid w:val="00927F90"/>
    <w:rsid w:val="00930011"/>
    <w:rsid w:val="009305F8"/>
    <w:rsid w:val="00930BAA"/>
    <w:rsid w:val="00930D2A"/>
    <w:rsid w:val="00931C96"/>
    <w:rsid w:val="009324C0"/>
    <w:rsid w:val="00932EB3"/>
    <w:rsid w:val="009331EF"/>
    <w:rsid w:val="009333BB"/>
    <w:rsid w:val="0093373D"/>
    <w:rsid w:val="009343D4"/>
    <w:rsid w:val="0093456C"/>
    <w:rsid w:val="0093462D"/>
    <w:rsid w:val="00934778"/>
    <w:rsid w:val="0093491D"/>
    <w:rsid w:val="009356C1"/>
    <w:rsid w:val="00935B33"/>
    <w:rsid w:val="00937FCA"/>
    <w:rsid w:val="0094153D"/>
    <w:rsid w:val="009415EB"/>
    <w:rsid w:val="00941BB7"/>
    <w:rsid w:val="009437E9"/>
    <w:rsid w:val="00943A67"/>
    <w:rsid w:val="00943BB1"/>
    <w:rsid w:val="00943DCF"/>
    <w:rsid w:val="00943EFA"/>
    <w:rsid w:val="00944FB4"/>
    <w:rsid w:val="0094630D"/>
    <w:rsid w:val="00946FA9"/>
    <w:rsid w:val="0094735E"/>
    <w:rsid w:val="0094743F"/>
    <w:rsid w:val="00947491"/>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1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4B9D"/>
    <w:rsid w:val="00974DC8"/>
    <w:rsid w:val="0097529F"/>
    <w:rsid w:val="009754A0"/>
    <w:rsid w:val="0097586C"/>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3EB"/>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397"/>
    <w:rsid w:val="00996A55"/>
    <w:rsid w:val="00996DD5"/>
    <w:rsid w:val="00997807"/>
    <w:rsid w:val="00997B72"/>
    <w:rsid w:val="009A0216"/>
    <w:rsid w:val="009A02AB"/>
    <w:rsid w:val="009A0C0A"/>
    <w:rsid w:val="009A0D4B"/>
    <w:rsid w:val="009A1058"/>
    <w:rsid w:val="009A157A"/>
    <w:rsid w:val="009A24E2"/>
    <w:rsid w:val="009A2965"/>
    <w:rsid w:val="009A3621"/>
    <w:rsid w:val="009A37D2"/>
    <w:rsid w:val="009A3EAF"/>
    <w:rsid w:val="009A49C9"/>
    <w:rsid w:val="009A4BAC"/>
    <w:rsid w:val="009A5641"/>
    <w:rsid w:val="009A58B4"/>
    <w:rsid w:val="009A5E96"/>
    <w:rsid w:val="009A5F4B"/>
    <w:rsid w:val="009A64EE"/>
    <w:rsid w:val="009A6887"/>
    <w:rsid w:val="009A69E5"/>
    <w:rsid w:val="009A70E0"/>
    <w:rsid w:val="009A73FF"/>
    <w:rsid w:val="009B013E"/>
    <w:rsid w:val="009B0853"/>
    <w:rsid w:val="009B1E06"/>
    <w:rsid w:val="009B220D"/>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694"/>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09"/>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3E4"/>
    <w:rsid w:val="00A10548"/>
    <w:rsid w:val="00A10714"/>
    <w:rsid w:val="00A10BB1"/>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8C"/>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5ED"/>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4A87"/>
    <w:rsid w:val="00A55630"/>
    <w:rsid w:val="00A5616C"/>
    <w:rsid w:val="00A56320"/>
    <w:rsid w:val="00A564E2"/>
    <w:rsid w:val="00A56893"/>
    <w:rsid w:val="00A56AE9"/>
    <w:rsid w:val="00A56D10"/>
    <w:rsid w:val="00A5723B"/>
    <w:rsid w:val="00A57479"/>
    <w:rsid w:val="00A574F2"/>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C59"/>
    <w:rsid w:val="00A761EF"/>
    <w:rsid w:val="00A76B10"/>
    <w:rsid w:val="00A76CDD"/>
    <w:rsid w:val="00A77315"/>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125"/>
    <w:rsid w:val="00AC0489"/>
    <w:rsid w:val="00AC0646"/>
    <w:rsid w:val="00AC1418"/>
    <w:rsid w:val="00AC161E"/>
    <w:rsid w:val="00AC2111"/>
    <w:rsid w:val="00AC23D5"/>
    <w:rsid w:val="00AC243A"/>
    <w:rsid w:val="00AC2D23"/>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548E"/>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07AFA"/>
    <w:rsid w:val="00B12A6D"/>
    <w:rsid w:val="00B13554"/>
    <w:rsid w:val="00B13B7A"/>
    <w:rsid w:val="00B14483"/>
    <w:rsid w:val="00B15367"/>
    <w:rsid w:val="00B153A6"/>
    <w:rsid w:val="00B155D4"/>
    <w:rsid w:val="00B1599B"/>
    <w:rsid w:val="00B15FA1"/>
    <w:rsid w:val="00B16858"/>
    <w:rsid w:val="00B17243"/>
    <w:rsid w:val="00B20541"/>
    <w:rsid w:val="00B20856"/>
    <w:rsid w:val="00B20988"/>
    <w:rsid w:val="00B20D5E"/>
    <w:rsid w:val="00B22C72"/>
    <w:rsid w:val="00B2300A"/>
    <w:rsid w:val="00B231E6"/>
    <w:rsid w:val="00B23255"/>
    <w:rsid w:val="00B24004"/>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9DC"/>
    <w:rsid w:val="00B36ECA"/>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5DD4"/>
    <w:rsid w:val="00B666CF"/>
    <w:rsid w:val="00B670DF"/>
    <w:rsid w:val="00B67B96"/>
    <w:rsid w:val="00B67BA4"/>
    <w:rsid w:val="00B67F4C"/>
    <w:rsid w:val="00B709CA"/>
    <w:rsid w:val="00B70C7F"/>
    <w:rsid w:val="00B717AA"/>
    <w:rsid w:val="00B71866"/>
    <w:rsid w:val="00B71B11"/>
    <w:rsid w:val="00B71C5E"/>
    <w:rsid w:val="00B7212B"/>
    <w:rsid w:val="00B72189"/>
    <w:rsid w:val="00B72CF0"/>
    <w:rsid w:val="00B73622"/>
    <w:rsid w:val="00B73BA4"/>
    <w:rsid w:val="00B73FC4"/>
    <w:rsid w:val="00B75D34"/>
    <w:rsid w:val="00B771D7"/>
    <w:rsid w:val="00B801B2"/>
    <w:rsid w:val="00B80BA1"/>
    <w:rsid w:val="00B81B26"/>
    <w:rsid w:val="00B81FDB"/>
    <w:rsid w:val="00B8277D"/>
    <w:rsid w:val="00B830A2"/>
    <w:rsid w:val="00B83214"/>
    <w:rsid w:val="00B83404"/>
    <w:rsid w:val="00B842B5"/>
    <w:rsid w:val="00B8475D"/>
    <w:rsid w:val="00B84C5D"/>
    <w:rsid w:val="00B84D65"/>
    <w:rsid w:val="00B84EE3"/>
    <w:rsid w:val="00B85251"/>
    <w:rsid w:val="00B853CC"/>
    <w:rsid w:val="00B8632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A7BF2"/>
    <w:rsid w:val="00BB03F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24B"/>
    <w:rsid w:val="00BB78B5"/>
    <w:rsid w:val="00BB7A07"/>
    <w:rsid w:val="00BC060A"/>
    <w:rsid w:val="00BC0656"/>
    <w:rsid w:val="00BC08DD"/>
    <w:rsid w:val="00BC0C42"/>
    <w:rsid w:val="00BC114A"/>
    <w:rsid w:val="00BC1D62"/>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D7E9F"/>
    <w:rsid w:val="00BE0B65"/>
    <w:rsid w:val="00BE2F38"/>
    <w:rsid w:val="00BE326C"/>
    <w:rsid w:val="00BE365B"/>
    <w:rsid w:val="00BE4067"/>
    <w:rsid w:val="00BE4F11"/>
    <w:rsid w:val="00BE571C"/>
    <w:rsid w:val="00BE695B"/>
    <w:rsid w:val="00BE6D35"/>
    <w:rsid w:val="00BE7036"/>
    <w:rsid w:val="00BE7103"/>
    <w:rsid w:val="00BE7A42"/>
    <w:rsid w:val="00BE7B1A"/>
    <w:rsid w:val="00BF006D"/>
    <w:rsid w:val="00BF00F3"/>
    <w:rsid w:val="00BF04FB"/>
    <w:rsid w:val="00BF06C8"/>
    <w:rsid w:val="00BF0C35"/>
    <w:rsid w:val="00BF0CF7"/>
    <w:rsid w:val="00BF1393"/>
    <w:rsid w:val="00BF168A"/>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774"/>
    <w:rsid w:val="00C3681D"/>
    <w:rsid w:val="00C36888"/>
    <w:rsid w:val="00C369E6"/>
    <w:rsid w:val="00C36C23"/>
    <w:rsid w:val="00C375EA"/>
    <w:rsid w:val="00C408F8"/>
    <w:rsid w:val="00C40904"/>
    <w:rsid w:val="00C410ED"/>
    <w:rsid w:val="00C42898"/>
    <w:rsid w:val="00C43001"/>
    <w:rsid w:val="00C43048"/>
    <w:rsid w:val="00C4363B"/>
    <w:rsid w:val="00C43AD8"/>
    <w:rsid w:val="00C453F5"/>
    <w:rsid w:val="00C463E3"/>
    <w:rsid w:val="00C4697D"/>
    <w:rsid w:val="00C469A5"/>
    <w:rsid w:val="00C47352"/>
    <w:rsid w:val="00C476A6"/>
    <w:rsid w:val="00C47E1D"/>
    <w:rsid w:val="00C5007F"/>
    <w:rsid w:val="00C510C6"/>
    <w:rsid w:val="00C519FB"/>
    <w:rsid w:val="00C52090"/>
    <w:rsid w:val="00C538B3"/>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A52"/>
    <w:rsid w:val="00C6758D"/>
    <w:rsid w:val="00C67DD9"/>
    <w:rsid w:val="00C71021"/>
    <w:rsid w:val="00C71446"/>
    <w:rsid w:val="00C71F0B"/>
    <w:rsid w:val="00C72C4A"/>
    <w:rsid w:val="00C73133"/>
    <w:rsid w:val="00C73662"/>
    <w:rsid w:val="00C73A67"/>
    <w:rsid w:val="00C744AB"/>
    <w:rsid w:val="00C74691"/>
    <w:rsid w:val="00C74DA6"/>
    <w:rsid w:val="00C74E3D"/>
    <w:rsid w:val="00C74E4D"/>
    <w:rsid w:val="00C74EEA"/>
    <w:rsid w:val="00C75047"/>
    <w:rsid w:val="00C75A4F"/>
    <w:rsid w:val="00C75C3F"/>
    <w:rsid w:val="00C75DB4"/>
    <w:rsid w:val="00C766CC"/>
    <w:rsid w:val="00C777CA"/>
    <w:rsid w:val="00C779B5"/>
    <w:rsid w:val="00C77A39"/>
    <w:rsid w:val="00C814C0"/>
    <w:rsid w:val="00C81504"/>
    <w:rsid w:val="00C81DA9"/>
    <w:rsid w:val="00C81F03"/>
    <w:rsid w:val="00C81FBD"/>
    <w:rsid w:val="00C82955"/>
    <w:rsid w:val="00C83443"/>
    <w:rsid w:val="00C83574"/>
    <w:rsid w:val="00C83769"/>
    <w:rsid w:val="00C83D00"/>
    <w:rsid w:val="00C83D3F"/>
    <w:rsid w:val="00C8421D"/>
    <w:rsid w:val="00C843AF"/>
    <w:rsid w:val="00C84957"/>
    <w:rsid w:val="00C84CC8"/>
    <w:rsid w:val="00C85E4C"/>
    <w:rsid w:val="00C86149"/>
    <w:rsid w:val="00C86916"/>
    <w:rsid w:val="00C86B84"/>
    <w:rsid w:val="00C86F8D"/>
    <w:rsid w:val="00C87D1A"/>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0F1"/>
    <w:rsid w:val="00CD0295"/>
    <w:rsid w:val="00CD071F"/>
    <w:rsid w:val="00CD08AB"/>
    <w:rsid w:val="00CD08B6"/>
    <w:rsid w:val="00CD0D03"/>
    <w:rsid w:val="00CD0FBC"/>
    <w:rsid w:val="00CD1148"/>
    <w:rsid w:val="00CD161C"/>
    <w:rsid w:val="00CD3D3A"/>
    <w:rsid w:val="00CD44AE"/>
    <w:rsid w:val="00CD474B"/>
    <w:rsid w:val="00CD4FE9"/>
    <w:rsid w:val="00CD53D3"/>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2E1B"/>
    <w:rsid w:val="00CE3DD4"/>
    <w:rsid w:val="00CE4BCD"/>
    <w:rsid w:val="00CE5122"/>
    <w:rsid w:val="00CE5A76"/>
    <w:rsid w:val="00CE61F3"/>
    <w:rsid w:val="00CE625C"/>
    <w:rsid w:val="00CE6EF5"/>
    <w:rsid w:val="00CE7219"/>
    <w:rsid w:val="00CE7EB2"/>
    <w:rsid w:val="00CF03E0"/>
    <w:rsid w:val="00CF0A94"/>
    <w:rsid w:val="00CF0AF1"/>
    <w:rsid w:val="00CF0B6A"/>
    <w:rsid w:val="00CF1749"/>
    <w:rsid w:val="00CF1E3D"/>
    <w:rsid w:val="00CF2696"/>
    <w:rsid w:val="00CF27C4"/>
    <w:rsid w:val="00CF289A"/>
    <w:rsid w:val="00CF3F95"/>
    <w:rsid w:val="00CF4EC7"/>
    <w:rsid w:val="00CF59E2"/>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59B1"/>
    <w:rsid w:val="00D06052"/>
    <w:rsid w:val="00D06162"/>
    <w:rsid w:val="00D06420"/>
    <w:rsid w:val="00D0701F"/>
    <w:rsid w:val="00D071AC"/>
    <w:rsid w:val="00D077E3"/>
    <w:rsid w:val="00D07A59"/>
    <w:rsid w:val="00D11567"/>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4F"/>
    <w:rsid w:val="00D3555C"/>
    <w:rsid w:val="00D3572A"/>
    <w:rsid w:val="00D35DEE"/>
    <w:rsid w:val="00D36E35"/>
    <w:rsid w:val="00D37150"/>
    <w:rsid w:val="00D37C0C"/>
    <w:rsid w:val="00D37FA9"/>
    <w:rsid w:val="00D4040F"/>
    <w:rsid w:val="00D40767"/>
    <w:rsid w:val="00D409A1"/>
    <w:rsid w:val="00D413B3"/>
    <w:rsid w:val="00D41EAD"/>
    <w:rsid w:val="00D42148"/>
    <w:rsid w:val="00D427E5"/>
    <w:rsid w:val="00D427E8"/>
    <w:rsid w:val="00D4293A"/>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4B1"/>
    <w:rsid w:val="00D62A08"/>
    <w:rsid w:val="00D62BE4"/>
    <w:rsid w:val="00D62DBA"/>
    <w:rsid w:val="00D63102"/>
    <w:rsid w:val="00D647C5"/>
    <w:rsid w:val="00D64954"/>
    <w:rsid w:val="00D6512E"/>
    <w:rsid w:val="00D651D5"/>
    <w:rsid w:val="00D6593C"/>
    <w:rsid w:val="00D65F15"/>
    <w:rsid w:val="00D66260"/>
    <w:rsid w:val="00D663A6"/>
    <w:rsid w:val="00D6658E"/>
    <w:rsid w:val="00D6712B"/>
    <w:rsid w:val="00D70630"/>
    <w:rsid w:val="00D708DA"/>
    <w:rsid w:val="00D70ABF"/>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5A3"/>
    <w:rsid w:val="00DA15C5"/>
    <w:rsid w:val="00DA1AA7"/>
    <w:rsid w:val="00DA2081"/>
    <w:rsid w:val="00DA2B33"/>
    <w:rsid w:val="00DA2BCE"/>
    <w:rsid w:val="00DA2D5A"/>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679E"/>
    <w:rsid w:val="00DB7233"/>
    <w:rsid w:val="00DB7A74"/>
    <w:rsid w:val="00DC0682"/>
    <w:rsid w:val="00DC0E9B"/>
    <w:rsid w:val="00DC16A4"/>
    <w:rsid w:val="00DC1F76"/>
    <w:rsid w:val="00DC2E2E"/>
    <w:rsid w:val="00DC4B6C"/>
    <w:rsid w:val="00DC4D1E"/>
    <w:rsid w:val="00DC5AC5"/>
    <w:rsid w:val="00DC6125"/>
    <w:rsid w:val="00DC6D97"/>
    <w:rsid w:val="00DC7262"/>
    <w:rsid w:val="00DC7E05"/>
    <w:rsid w:val="00DD1311"/>
    <w:rsid w:val="00DD1B52"/>
    <w:rsid w:val="00DD1D55"/>
    <w:rsid w:val="00DD1EE7"/>
    <w:rsid w:val="00DD2119"/>
    <w:rsid w:val="00DD2820"/>
    <w:rsid w:val="00DD311B"/>
    <w:rsid w:val="00DD3873"/>
    <w:rsid w:val="00DD4294"/>
    <w:rsid w:val="00DD4813"/>
    <w:rsid w:val="00DD5B46"/>
    <w:rsid w:val="00DD6165"/>
    <w:rsid w:val="00DD6663"/>
    <w:rsid w:val="00DD66DA"/>
    <w:rsid w:val="00DD6EB8"/>
    <w:rsid w:val="00DD7917"/>
    <w:rsid w:val="00DE01CB"/>
    <w:rsid w:val="00DE0E25"/>
    <w:rsid w:val="00DE12DF"/>
    <w:rsid w:val="00DE17FF"/>
    <w:rsid w:val="00DE189A"/>
    <w:rsid w:val="00DE2DFB"/>
    <w:rsid w:val="00DE328D"/>
    <w:rsid w:val="00DE3712"/>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54EC"/>
    <w:rsid w:val="00E16198"/>
    <w:rsid w:val="00E16AB4"/>
    <w:rsid w:val="00E16BAA"/>
    <w:rsid w:val="00E17956"/>
    <w:rsid w:val="00E17F49"/>
    <w:rsid w:val="00E20418"/>
    <w:rsid w:val="00E21412"/>
    <w:rsid w:val="00E216E7"/>
    <w:rsid w:val="00E22486"/>
    <w:rsid w:val="00E22993"/>
    <w:rsid w:val="00E229A0"/>
    <w:rsid w:val="00E230CB"/>
    <w:rsid w:val="00E23C65"/>
    <w:rsid w:val="00E23D5F"/>
    <w:rsid w:val="00E23E25"/>
    <w:rsid w:val="00E24547"/>
    <w:rsid w:val="00E25050"/>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237"/>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1C4B"/>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AF6"/>
    <w:rsid w:val="00E80C37"/>
    <w:rsid w:val="00E8119B"/>
    <w:rsid w:val="00E81924"/>
    <w:rsid w:val="00E81E35"/>
    <w:rsid w:val="00E81EE2"/>
    <w:rsid w:val="00E82126"/>
    <w:rsid w:val="00E82CA4"/>
    <w:rsid w:val="00E82D58"/>
    <w:rsid w:val="00E84077"/>
    <w:rsid w:val="00E856C3"/>
    <w:rsid w:val="00E856ED"/>
    <w:rsid w:val="00E866D0"/>
    <w:rsid w:val="00E8694C"/>
    <w:rsid w:val="00E87031"/>
    <w:rsid w:val="00E872D3"/>
    <w:rsid w:val="00E87790"/>
    <w:rsid w:val="00E878D3"/>
    <w:rsid w:val="00E87D62"/>
    <w:rsid w:val="00E902BD"/>
    <w:rsid w:val="00E9116A"/>
    <w:rsid w:val="00E91570"/>
    <w:rsid w:val="00E918FF"/>
    <w:rsid w:val="00E92591"/>
    <w:rsid w:val="00E928DD"/>
    <w:rsid w:val="00E92F52"/>
    <w:rsid w:val="00E934E9"/>
    <w:rsid w:val="00E93DFE"/>
    <w:rsid w:val="00E949DD"/>
    <w:rsid w:val="00E956A8"/>
    <w:rsid w:val="00E959A2"/>
    <w:rsid w:val="00E95FA9"/>
    <w:rsid w:val="00E9667F"/>
    <w:rsid w:val="00E97FBE"/>
    <w:rsid w:val="00EA0143"/>
    <w:rsid w:val="00EA0390"/>
    <w:rsid w:val="00EA0734"/>
    <w:rsid w:val="00EA0E22"/>
    <w:rsid w:val="00EA0FCD"/>
    <w:rsid w:val="00EA12F7"/>
    <w:rsid w:val="00EA1891"/>
    <w:rsid w:val="00EA2918"/>
    <w:rsid w:val="00EA2984"/>
    <w:rsid w:val="00EA3E48"/>
    <w:rsid w:val="00EA4DAA"/>
    <w:rsid w:val="00EA5593"/>
    <w:rsid w:val="00EA5A14"/>
    <w:rsid w:val="00EA5BA9"/>
    <w:rsid w:val="00EA60FA"/>
    <w:rsid w:val="00EA65BC"/>
    <w:rsid w:val="00EA6A17"/>
    <w:rsid w:val="00EA7673"/>
    <w:rsid w:val="00EA7BE2"/>
    <w:rsid w:val="00EB0146"/>
    <w:rsid w:val="00EB057F"/>
    <w:rsid w:val="00EB0B26"/>
    <w:rsid w:val="00EB1354"/>
    <w:rsid w:val="00EB1BA8"/>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C04"/>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9F5"/>
    <w:rsid w:val="00EE6F42"/>
    <w:rsid w:val="00EE7144"/>
    <w:rsid w:val="00EE7758"/>
    <w:rsid w:val="00EE7829"/>
    <w:rsid w:val="00EF00BE"/>
    <w:rsid w:val="00EF09DF"/>
    <w:rsid w:val="00EF1AEF"/>
    <w:rsid w:val="00EF345F"/>
    <w:rsid w:val="00EF3463"/>
    <w:rsid w:val="00EF3607"/>
    <w:rsid w:val="00EF36A1"/>
    <w:rsid w:val="00EF45CC"/>
    <w:rsid w:val="00EF4A30"/>
    <w:rsid w:val="00EF4E00"/>
    <w:rsid w:val="00EF651C"/>
    <w:rsid w:val="00EF76FE"/>
    <w:rsid w:val="00F0087F"/>
    <w:rsid w:val="00F008FE"/>
    <w:rsid w:val="00F00C86"/>
    <w:rsid w:val="00F0119D"/>
    <w:rsid w:val="00F01254"/>
    <w:rsid w:val="00F01A8D"/>
    <w:rsid w:val="00F01EDC"/>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87317"/>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5E2"/>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E7C3E"/>
    <w:rsid w:val="00FF026D"/>
    <w:rsid w:val="00FF155B"/>
    <w:rsid w:val="00FF2213"/>
    <w:rsid w:val="00FF244B"/>
    <w:rsid w:val="00FF2F0B"/>
    <w:rsid w:val="00FF3F3A"/>
    <w:rsid w:val="00FF4631"/>
    <w:rsid w:val="00FF4763"/>
    <w:rsid w:val="00FF4A43"/>
    <w:rsid w:val="00FF54D0"/>
    <w:rsid w:val="00FF55B8"/>
    <w:rsid w:val="00FF5B44"/>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BE225"/>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Bahnschrift SemiBold SemiConden" w:eastAsia="Times New Roman" w:hAnsi="Bahnschrift SemiBold SemiConden" w:cs="Times New Roman" w:hint="default"/>
        <w:b/>
        <w:bCs/>
      </w:rPr>
    </w:tblStylePr>
    <w:tblStylePr w:type="lastCol">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41136880">
      <w:bodyDiv w:val="1"/>
      <w:marLeft w:val="0"/>
      <w:marRight w:val="0"/>
      <w:marTop w:val="0"/>
      <w:marBottom w:val="0"/>
      <w:divBdr>
        <w:top w:val="none" w:sz="0" w:space="0" w:color="auto"/>
        <w:left w:val="none" w:sz="0" w:space="0" w:color="auto"/>
        <w:bottom w:val="none" w:sz="0" w:space="0" w:color="auto"/>
        <w:right w:val="none" w:sz="0" w:space="0" w:color="auto"/>
      </w:divBdr>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6281221">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2.xml><?xml version="1.0" encoding="utf-8"?>
<ds:datastoreItem xmlns:ds="http://schemas.openxmlformats.org/officeDocument/2006/customXml" ds:itemID="{D029DF2A-96F2-414A-AFDB-426EC5378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4.xml><?xml version="1.0" encoding="utf-8"?>
<ds:datastoreItem xmlns:ds="http://schemas.openxmlformats.org/officeDocument/2006/customXml" ds:itemID="{7881BCB8-03D0-4290-935D-F6B299B61C87}">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77</Pages>
  <Words>38011</Words>
  <Characters>216665</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2025 SPP/APR and State Determination Letters, Part C</vt:lpstr>
    </vt:vector>
  </TitlesOfParts>
  <Manager/>
  <Company/>
  <LinksUpToDate>false</LinksUpToDate>
  <CharactersWithSpaces>254168</CharactersWithSpaces>
  <SharedDoc>false</SharedDoc>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Pargin</dc:creator>
  <cp:lastModifiedBy>Trevor Scruggs</cp:lastModifiedBy>
  <cp:revision>3</cp:revision>
  <cp:lastPrinted>2014-08-20T01:56:00Z</cp:lastPrinted>
  <dcterms:created xsi:type="dcterms:W3CDTF">2026-04-21T20:47:00Z</dcterms:created>
  <dcterms:modified xsi:type="dcterms:W3CDTF">2026-04-28T19:52:00Z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