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CAC8" w14:textId="77777777" w:rsidR="001F0E0A" w:rsidRDefault="001F0E0A">
      <w:pPr>
        <w:pStyle w:val="Heading1"/>
      </w:pPr>
    </w:p>
    <w:p w14:paraId="2A8CACAD" w14:textId="166168AF" w:rsidR="0044041F" w:rsidRDefault="00DF0DAB">
      <w:pPr>
        <w:pStyle w:val="Heading1"/>
      </w:pPr>
      <w:r>
        <w:t>BASKET</w:t>
      </w:r>
      <w:r w:rsidR="0044041F">
        <w:t xml:space="preserve"> CLAUSE FORM</w:t>
      </w:r>
    </w:p>
    <w:p w14:paraId="71C92743" w14:textId="37255B55" w:rsidR="00296CDD" w:rsidRDefault="00296CDD" w:rsidP="00296CDD">
      <w:pPr>
        <w:tabs>
          <w:tab w:val="left" w:pos="3615"/>
        </w:tabs>
        <w:jc w:val="center"/>
        <w:rPr>
          <w:b/>
          <w:sz w:val="18"/>
          <w:szCs w:val="18"/>
        </w:rPr>
      </w:pPr>
      <w:r w:rsidRPr="005E3299">
        <w:rPr>
          <w:b/>
          <w:sz w:val="18"/>
          <w:szCs w:val="18"/>
        </w:rPr>
        <w:t xml:space="preserve">Upload additional pages if </w:t>
      </w:r>
      <w:r w:rsidR="00A61867" w:rsidRPr="005E3299">
        <w:rPr>
          <w:b/>
          <w:sz w:val="18"/>
          <w:szCs w:val="18"/>
        </w:rPr>
        <w:t>necessary.</w:t>
      </w:r>
    </w:p>
    <w:p w14:paraId="520C3263" w14:textId="77777777" w:rsidR="0002207D" w:rsidRDefault="0002207D" w:rsidP="00296CDD">
      <w:pPr>
        <w:tabs>
          <w:tab w:val="left" w:pos="3615"/>
        </w:tabs>
        <w:jc w:val="center"/>
        <w:rPr>
          <w:sz w:val="18"/>
          <w:szCs w:val="18"/>
        </w:rPr>
      </w:pPr>
    </w:p>
    <w:p w14:paraId="04527FFF" w14:textId="77777777" w:rsidR="00A61867" w:rsidRPr="005E3299" w:rsidRDefault="00A61867" w:rsidP="00296CDD">
      <w:pPr>
        <w:tabs>
          <w:tab w:val="left" w:pos="3615"/>
        </w:tabs>
        <w:jc w:val="center"/>
        <w:rPr>
          <w:sz w:val="18"/>
          <w:szCs w:val="18"/>
        </w:rPr>
      </w:pPr>
    </w:p>
    <w:p w14:paraId="337BB315" w14:textId="5A1DE7C5" w:rsidR="00856134" w:rsidRPr="009E2F8A" w:rsidRDefault="009E2F8A" w:rsidP="009E2F8A">
      <w:pPr>
        <w:tabs>
          <w:tab w:val="left" w:pos="2250"/>
          <w:tab w:val="left" w:pos="2610"/>
          <w:tab w:val="left" w:pos="7020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272CFAFC" w14:textId="42FE5E7D" w:rsidR="0002207D" w:rsidRPr="005E3299" w:rsidRDefault="0002207D" w:rsidP="0002207D">
      <w:pPr>
        <w:jc w:val="center"/>
        <w:rPr>
          <w:sz w:val="18"/>
          <w:szCs w:val="18"/>
        </w:rPr>
      </w:pPr>
      <w:r w:rsidRPr="005E3299">
        <w:rPr>
          <w:sz w:val="18"/>
          <w:szCs w:val="18"/>
        </w:rPr>
        <w:t>Company Name</w:t>
      </w:r>
      <w:r>
        <w:rPr>
          <w:sz w:val="18"/>
          <w:szCs w:val="18"/>
        </w:rPr>
        <w:t xml:space="preserve"> </w:t>
      </w:r>
      <w:r w:rsidR="003342E0">
        <w:rPr>
          <w:sz w:val="18"/>
          <w:szCs w:val="18"/>
        </w:rPr>
        <w:t>a</w:t>
      </w:r>
      <w:r w:rsidR="00A61867">
        <w:rPr>
          <w:sz w:val="18"/>
          <w:szCs w:val="18"/>
        </w:rPr>
        <w:t>n</w:t>
      </w:r>
      <w:r w:rsidR="003342E0">
        <w:rPr>
          <w:sz w:val="18"/>
          <w:szCs w:val="18"/>
        </w:rPr>
        <w:t xml:space="preserve">d </w:t>
      </w:r>
      <w:r>
        <w:rPr>
          <w:sz w:val="18"/>
          <w:szCs w:val="18"/>
        </w:rPr>
        <w:t>NAIC Number</w:t>
      </w:r>
    </w:p>
    <w:p w14:paraId="4CF41AF1" w14:textId="77777777" w:rsidR="0044041F" w:rsidRDefault="0044041F"/>
    <w:p w14:paraId="4BBA7514" w14:textId="5E75FEA9" w:rsidR="0044041F" w:rsidRPr="000060F0" w:rsidRDefault="006369AF" w:rsidP="00AB1ADE">
      <w:pPr>
        <w:jc w:val="both"/>
        <w:rPr>
          <w:sz w:val="18"/>
          <w:szCs w:val="22"/>
        </w:rPr>
      </w:pPr>
      <w:r w:rsidRPr="000060F0">
        <w:rPr>
          <w:sz w:val="18"/>
          <w:szCs w:val="22"/>
        </w:rPr>
        <w:t>This form must be completed for i</w:t>
      </w:r>
      <w:r w:rsidR="0044041F" w:rsidRPr="000060F0">
        <w:rPr>
          <w:sz w:val="18"/>
          <w:szCs w:val="22"/>
        </w:rPr>
        <w:t xml:space="preserve">nvestments </w:t>
      </w:r>
      <w:r w:rsidR="0018378C" w:rsidRPr="000060F0">
        <w:rPr>
          <w:sz w:val="18"/>
          <w:szCs w:val="22"/>
        </w:rPr>
        <w:t>m</w:t>
      </w:r>
      <w:r w:rsidR="0044041F" w:rsidRPr="000060F0">
        <w:rPr>
          <w:sz w:val="18"/>
          <w:szCs w:val="22"/>
        </w:rPr>
        <w:t>ade</w:t>
      </w:r>
      <w:r w:rsidR="00620519" w:rsidRPr="000060F0">
        <w:rPr>
          <w:sz w:val="18"/>
          <w:szCs w:val="22"/>
        </w:rPr>
        <w:t xml:space="preserve"> by Tennessee-domestic insurance companies</w:t>
      </w:r>
      <w:r w:rsidR="0044041F" w:rsidRPr="000060F0">
        <w:rPr>
          <w:sz w:val="18"/>
          <w:szCs w:val="22"/>
        </w:rPr>
        <w:t xml:space="preserve"> </w:t>
      </w:r>
      <w:r w:rsidR="00620519" w:rsidRPr="000060F0">
        <w:rPr>
          <w:sz w:val="18"/>
          <w:szCs w:val="22"/>
        </w:rPr>
        <w:t xml:space="preserve">as </w:t>
      </w:r>
      <w:r w:rsidR="00301609" w:rsidRPr="000060F0">
        <w:rPr>
          <w:sz w:val="18"/>
          <w:szCs w:val="22"/>
        </w:rPr>
        <w:t>allowed</w:t>
      </w:r>
      <w:r w:rsidR="00620519" w:rsidRPr="000060F0">
        <w:rPr>
          <w:sz w:val="18"/>
          <w:szCs w:val="22"/>
        </w:rPr>
        <w:t xml:space="preserve"> by</w:t>
      </w:r>
      <w:r w:rsidR="0044041F" w:rsidRPr="000060F0">
        <w:rPr>
          <w:sz w:val="18"/>
          <w:szCs w:val="22"/>
        </w:rPr>
        <w:t xml:space="preserve"> </w:t>
      </w:r>
      <w:hyperlink r:id="rId7" w:history="1">
        <w:r w:rsidR="00DF0DAB" w:rsidRPr="000060F0">
          <w:rPr>
            <w:rStyle w:val="Hyperlink"/>
            <w:sz w:val="18"/>
            <w:szCs w:val="22"/>
          </w:rPr>
          <w:t>Tenn. Code Ann. § 56-</w:t>
        </w:r>
        <w:r w:rsidR="000B2102" w:rsidRPr="000060F0">
          <w:rPr>
            <w:rStyle w:val="Hyperlink"/>
            <w:sz w:val="18"/>
            <w:szCs w:val="22"/>
          </w:rPr>
          <w:t>3-303(a)(15)</w:t>
        </w:r>
      </w:hyperlink>
      <w:r w:rsidR="000B2102" w:rsidRPr="000060F0">
        <w:rPr>
          <w:sz w:val="18"/>
          <w:szCs w:val="22"/>
        </w:rPr>
        <w:t xml:space="preserve"> </w:t>
      </w:r>
      <w:r w:rsidR="0044041F" w:rsidRPr="000060F0">
        <w:rPr>
          <w:sz w:val="18"/>
          <w:szCs w:val="22"/>
        </w:rPr>
        <w:t>(Life Companies</w:t>
      </w:r>
      <w:r w:rsidR="00C11F54" w:rsidRPr="000060F0">
        <w:rPr>
          <w:sz w:val="18"/>
          <w:szCs w:val="22"/>
        </w:rPr>
        <w:t>)</w:t>
      </w:r>
      <w:r w:rsidR="00501EF8" w:rsidRPr="000060F0">
        <w:rPr>
          <w:sz w:val="18"/>
          <w:szCs w:val="22"/>
        </w:rPr>
        <w:t xml:space="preserve"> </w:t>
      </w:r>
      <w:r w:rsidR="0044041F" w:rsidRPr="000060F0">
        <w:rPr>
          <w:sz w:val="18"/>
          <w:szCs w:val="22"/>
        </w:rPr>
        <w:t xml:space="preserve">or </w:t>
      </w:r>
      <w:hyperlink r:id="rId8" w:history="1">
        <w:r w:rsidR="00DF0DAB" w:rsidRPr="000060F0">
          <w:rPr>
            <w:rStyle w:val="Hyperlink"/>
            <w:sz w:val="18"/>
            <w:szCs w:val="22"/>
          </w:rPr>
          <w:t>Tenn. Code Ann. § 56</w:t>
        </w:r>
        <w:r w:rsidR="0018378C" w:rsidRPr="000060F0">
          <w:rPr>
            <w:rStyle w:val="Hyperlink"/>
            <w:sz w:val="18"/>
            <w:szCs w:val="22"/>
          </w:rPr>
          <w:t>-</w:t>
        </w:r>
        <w:r w:rsidR="00DF0DAB" w:rsidRPr="000060F0">
          <w:rPr>
            <w:rStyle w:val="Hyperlink"/>
            <w:sz w:val="18"/>
            <w:szCs w:val="22"/>
          </w:rPr>
          <w:t>3-402(15)</w:t>
        </w:r>
      </w:hyperlink>
      <w:r w:rsidR="00DF0DAB" w:rsidRPr="000060F0">
        <w:rPr>
          <w:sz w:val="18"/>
          <w:szCs w:val="22"/>
        </w:rPr>
        <w:t xml:space="preserve"> </w:t>
      </w:r>
      <w:r w:rsidR="0044041F" w:rsidRPr="000060F0">
        <w:rPr>
          <w:sz w:val="18"/>
          <w:szCs w:val="22"/>
        </w:rPr>
        <w:t>(</w:t>
      </w:r>
      <w:r w:rsidR="00DF0DAB" w:rsidRPr="000060F0">
        <w:rPr>
          <w:sz w:val="18"/>
          <w:szCs w:val="22"/>
        </w:rPr>
        <w:t xml:space="preserve">Property </w:t>
      </w:r>
      <w:r w:rsidR="0044041F" w:rsidRPr="000060F0">
        <w:rPr>
          <w:sz w:val="18"/>
          <w:szCs w:val="22"/>
        </w:rPr>
        <w:t xml:space="preserve">&amp; Casualty </w:t>
      </w:r>
      <w:r w:rsidR="00D846FC" w:rsidRPr="000060F0">
        <w:rPr>
          <w:sz w:val="18"/>
          <w:szCs w:val="22"/>
        </w:rPr>
        <w:t xml:space="preserve">Companies </w:t>
      </w:r>
      <w:r w:rsidR="0044041F" w:rsidRPr="000060F0">
        <w:rPr>
          <w:sz w:val="18"/>
          <w:szCs w:val="22"/>
        </w:rPr>
        <w:t xml:space="preserve">and Health </w:t>
      </w:r>
      <w:r w:rsidR="00D846FC" w:rsidRPr="000060F0">
        <w:rPr>
          <w:sz w:val="18"/>
          <w:szCs w:val="22"/>
        </w:rPr>
        <w:t>Entities</w:t>
      </w:r>
      <w:r w:rsidR="0044041F" w:rsidRPr="000060F0">
        <w:rPr>
          <w:sz w:val="18"/>
          <w:szCs w:val="22"/>
        </w:rPr>
        <w:t xml:space="preserve">) during </w:t>
      </w:r>
      <w:r w:rsidR="00600B19" w:rsidRPr="000060F0">
        <w:rPr>
          <w:sz w:val="18"/>
          <w:szCs w:val="22"/>
        </w:rPr>
        <w:t xml:space="preserve">the year ended December 31, </w:t>
      </w:r>
      <w:r w:rsidR="00E60910" w:rsidRPr="000060F0">
        <w:rPr>
          <w:sz w:val="18"/>
          <w:szCs w:val="22"/>
        </w:rPr>
        <w:t>20</w:t>
      </w:r>
      <w:r w:rsidR="00E13B17" w:rsidRPr="000060F0">
        <w:rPr>
          <w:sz w:val="18"/>
          <w:szCs w:val="22"/>
        </w:rPr>
        <w:t>2</w:t>
      </w:r>
      <w:r w:rsidR="00DF0DAB" w:rsidRPr="000060F0">
        <w:rPr>
          <w:sz w:val="18"/>
          <w:szCs w:val="22"/>
        </w:rPr>
        <w:t>4</w:t>
      </w:r>
      <w:r w:rsidR="00E60910" w:rsidRPr="000060F0">
        <w:rPr>
          <w:sz w:val="18"/>
          <w:szCs w:val="22"/>
        </w:rPr>
        <w:t>.</w:t>
      </w:r>
      <w:r w:rsidR="00620519" w:rsidRPr="000060F0">
        <w:rPr>
          <w:sz w:val="18"/>
          <w:szCs w:val="22"/>
        </w:rPr>
        <w:t xml:space="preserve"> Such investments are referred to as investments under a “basket clause.”</w:t>
      </w:r>
    </w:p>
    <w:p w14:paraId="19AC2B80" w14:textId="77777777" w:rsidR="00CA697F" w:rsidRPr="000060F0" w:rsidRDefault="00CA697F" w:rsidP="00AB1ADE">
      <w:pPr>
        <w:jc w:val="both"/>
        <w:rPr>
          <w:sz w:val="18"/>
          <w:szCs w:val="22"/>
        </w:rPr>
      </w:pPr>
    </w:p>
    <w:p w14:paraId="0D24C573" w14:textId="3A84D22B" w:rsidR="00CA697F" w:rsidRPr="000060F0" w:rsidRDefault="00CA697F" w:rsidP="009E2F8A">
      <w:pPr>
        <w:tabs>
          <w:tab w:val="left" w:pos="3690"/>
          <w:tab w:val="left" w:pos="3780"/>
          <w:tab w:val="left" w:pos="5130"/>
          <w:tab w:val="left" w:pos="5400"/>
          <w:tab w:val="left" w:pos="5490"/>
          <w:tab w:val="left" w:pos="6030"/>
          <w:tab w:val="left" w:pos="6390"/>
          <w:tab w:val="left" w:pos="6570"/>
          <w:tab w:val="left" w:pos="8190"/>
        </w:tabs>
        <w:jc w:val="both"/>
        <w:rPr>
          <w:sz w:val="18"/>
          <w:szCs w:val="22"/>
        </w:rPr>
      </w:pPr>
      <w:r w:rsidRPr="000060F0">
        <w:rPr>
          <w:sz w:val="18"/>
          <w:szCs w:val="22"/>
        </w:rPr>
        <w:t xml:space="preserve">Admitted assets as of December 31, 2024. </w:t>
      </w:r>
      <w:r w:rsidR="009E2F8A">
        <w:rPr>
          <w:sz w:val="18"/>
          <w:szCs w:val="22"/>
        </w:rPr>
        <w:tab/>
      </w:r>
      <w:r w:rsidR="009E2F8A">
        <w:rPr>
          <w:sz w:val="18"/>
          <w:szCs w:val="22"/>
          <w:u w:val="single"/>
        </w:rPr>
        <w:tab/>
      </w:r>
      <w:r w:rsidR="009E2F8A">
        <w:rPr>
          <w:sz w:val="18"/>
          <w:szCs w:val="22"/>
          <w:u w:val="single"/>
        </w:rPr>
        <w:tab/>
      </w:r>
      <w:r w:rsidR="009E2F8A">
        <w:rPr>
          <w:sz w:val="18"/>
          <w:szCs w:val="22"/>
        </w:rPr>
        <w:t xml:space="preserve">  </w:t>
      </w:r>
      <w:r w:rsidRPr="000060F0">
        <w:rPr>
          <w:b/>
          <w:bCs/>
          <w:sz w:val="18"/>
          <w:szCs w:val="22"/>
        </w:rPr>
        <w:t>x</w:t>
      </w:r>
      <w:r w:rsidRPr="009E2F8A">
        <w:rPr>
          <w:sz w:val="18"/>
          <w:szCs w:val="22"/>
        </w:rPr>
        <w:t xml:space="preserve"> </w:t>
      </w:r>
      <w:r w:rsidR="009E2F8A" w:rsidRPr="009E2F8A">
        <w:rPr>
          <w:sz w:val="18"/>
          <w:szCs w:val="22"/>
          <w:u w:val="single"/>
        </w:rPr>
        <w:tab/>
      </w:r>
      <w:r w:rsidR="009E2F8A" w:rsidRPr="009E2F8A">
        <w:rPr>
          <w:sz w:val="18"/>
          <w:szCs w:val="22"/>
          <w:u w:val="single"/>
        </w:rPr>
        <w:tab/>
      </w:r>
      <w:r w:rsidR="009E2F8A" w:rsidRPr="009E2F8A">
        <w:rPr>
          <w:sz w:val="18"/>
          <w:szCs w:val="22"/>
          <w:u w:val="single"/>
        </w:rPr>
        <w:tab/>
      </w:r>
      <w:r w:rsidRPr="000060F0">
        <w:rPr>
          <w:b/>
          <w:bCs/>
          <w:sz w:val="18"/>
          <w:szCs w:val="22"/>
        </w:rPr>
        <w:t xml:space="preserve">% = </w:t>
      </w:r>
      <w:r w:rsidR="009E2F8A" w:rsidRPr="009E2F8A">
        <w:rPr>
          <w:sz w:val="18"/>
          <w:szCs w:val="22"/>
          <w:u w:val="single"/>
        </w:rPr>
        <w:tab/>
      </w:r>
      <w:r w:rsidR="009E2F8A" w:rsidRPr="009E2F8A">
        <w:rPr>
          <w:sz w:val="18"/>
          <w:szCs w:val="22"/>
          <w:u w:val="single"/>
        </w:rPr>
        <w:tab/>
      </w:r>
      <w:r w:rsidRPr="000060F0">
        <w:rPr>
          <w:sz w:val="18"/>
          <w:szCs w:val="22"/>
        </w:rPr>
        <w:t xml:space="preserve"> (maximum amount to be held under </w:t>
      </w:r>
      <w:hyperlink r:id="rId9" w:history="1">
        <w:r w:rsidR="006435AA">
          <w:rPr>
            <w:rStyle w:val="Hyperlink"/>
            <w:sz w:val="18"/>
            <w:szCs w:val="22"/>
          </w:rPr>
          <w:t>Tenn. Code Ann.</w:t>
        </w:r>
        <w:r w:rsidRPr="000060F0">
          <w:rPr>
            <w:rStyle w:val="Hyperlink"/>
            <w:sz w:val="18"/>
            <w:szCs w:val="22"/>
          </w:rPr>
          <w:t xml:space="preserve"> </w:t>
        </w:r>
        <w:r w:rsidR="00620519" w:rsidRPr="000060F0">
          <w:rPr>
            <w:rStyle w:val="Hyperlink"/>
            <w:sz w:val="18"/>
            <w:szCs w:val="22"/>
          </w:rPr>
          <w:t xml:space="preserve">§§ </w:t>
        </w:r>
        <w:r w:rsidRPr="000060F0">
          <w:rPr>
            <w:rStyle w:val="Hyperlink"/>
            <w:sz w:val="18"/>
            <w:szCs w:val="22"/>
          </w:rPr>
          <w:t>56-3-303(a)(15)</w:t>
        </w:r>
      </w:hyperlink>
      <w:r w:rsidRPr="000060F0">
        <w:rPr>
          <w:sz w:val="18"/>
          <w:szCs w:val="22"/>
        </w:rPr>
        <w:t xml:space="preserve"> or </w:t>
      </w:r>
      <w:hyperlink r:id="rId10" w:history="1">
        <w:r w:rsidRPr="000060F0">
          <w:rPr>
            <w:rStyle w:val="Hyperlink"/>
            <w:sz w:val="18"/>
            <w:szCs w:val="22"/>
          </w:rPr>
          <w:t>56-3-402(15)</w:t>
        </w:r>
      </w:hyperlink>
      <w:r w:rsidR="00C319CE" w:rsidRPr="000060F0">
        <w:rPr>
          <w:rStyle w:val="Hyperlink"/>
          <w:sz w:val="18"/>
          <w:szCs w:val="22"/>
        </w:rPr>
        <w:t xml:space="preserve"> </w:t>
      </w:r>
      <w:r w:rsidR="00C319CE" w:rsidRPr="000060F0">
        <w:rPr>
          <w:sz w:val="18"/>
          <w:szCs w:val="22"/>
        </w:rPr>
        <w:t>depending on the type of insurer.</w:t>
      </w:r>
      <w:r w:rsidR="00301609" w:rsidRPr="000060F0">
        <w:rPr>
          <w:sz w:val="18"/>
          <w:szCs w:val="22"/>
        </w:rPr>
        <w:t>)</w:t>
      </w:r>
      <w:r w:rsidRPr="000060F0">
        <w:rPr>
          <w:sz w:val="18"/>
          <w:szCs w:val="22"/>
        </w:rPr>
        <w:t xml:space="preserve"> </w:t>
      </w:r>
    </w:p>
    <w:p w14:paraId="4B2A5ED3" w14:textId="77777777" w:rsidR="00501EF8" w:rsidRDefault="00501EF8" w:rsidP="00AB1ADE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</w:p>
    <w:p w14:paraId="170BD7C6" w14:textId="77777777" w:rsidR="00A61867" w:rsidRDefault="00A61867" w:rsidP="00AB1ADE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</w:p>
    <w:p w14:paraId="0A78319B" w14:textId="7622EF6A" w:rsidR="009E2F8A" w:rsidRPr="009E2F8A" w:rsidRDefault="009E2F8A" w:rsidP="009E2F8A">
      <w:pPr>
        <w:pStyle w:val="Header"/>
        <w:tabs>
          <w:tab w:val="clear" w:pos="4320"/>
          <w:tab w:val="clear" w:pos="8640"/>
          <w:tab w:val="left" w:pos="0"/>
          <w:tab w:val="left" w:pos="6120"/>
        </w:tabs>
        <w:jc w:val="both"/>
        <w:rPr>
          <w:sz w:val="16"/>
          <w:szCs w:val="16"/>
          <w:u w:val="single"/>
        </w:rPr>
      </w:pPr>
      <w:r w:rsidRPr="009E2F8A">
        <w:rPr>
          <w:sz w:val="16"/>
          <w:szCs w:val="16"/>
          <w:u w:val="single"/>
        </w:rPr>
        <w:tab/>
      </w:r>
      <w:r w:rsidRPr="009E2F8A">
        <w:rPr>
          <w:sz w:val="16"/>
          <w:szCs w:val="16"/>
          <w:u w:val="single"/>
        </w:rPr>
        <w:tab/>
      </w:r>
      <w:r w:rsidRPr="009E2F8A">
        <w:rPr>
          <w:sz w:val="16"/>
          <w:szCs w:val="16"/>
          <w:u w:val="single"/>
        </w:rPr>
        <w:tab/>
      </w:r>
    </w:p>
    <w:p w14:paraId="3C6ED2E7" w14:textId="44C310D4" w:rsidR="00501EF8" w:rsidRPr="000060F0" w:rsidRDefault="00501EF8" w:rsidP="00AB1ADE">
      <w:pPr>
        <w:jc w:val="both"/>
        <w:rPr>
          <w:sz w:val="18"/>
          <w:szCs w:val="22"/>
        </w:rPr>
      </w:pPr>
      <w:r w:rsidRPr="000060F0">
        <w:rPr>
          <w:sz w:val="18"/>
          <w:szCs w:val="22"/>
        </w:rPr>
        <w:t>(Name and telephone number of individual responsible for completion of form)</w:t>
      </w:r>
    </w:p>
    <w:p w14:paraId="029DBBFE" w14:textId="77777777" w:rsidR="00501EF8" w:rsidRDefault="00501EF8" w:rsidP="00AB1ADE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</w:p>
    <w:p w14:paraId="3ECCD034" w14:textId="77777777" w:rsidR="001F0E0A" w:rsidRPr="000060F0" w:rsidRDefault="001F0E0A" w:rsidP="00AB1ADE">
      <w:pPr>
        <w:pStyle w:val="Header"/>
        <w:tabs>
          <w:tab w:val="clear" w:pos="4320"/>
          <w:tab w:val="clear" w:pos="8640"/>
        </w:tabs>
        <w:jc w:val="both"/>
        <w:rPr>
          <w:sz w:val="16"/>
          <w:szCs w:val="16"/>
        </w:rPr>
      </w:pPr>
    </w:p>
    <w:p w14:paraId="0893CD8B" w14:textId="77777777" w:rsidR="0002207D" w:rsidRDefault="005E3299" w:rsidP="00AB1ADE">
      <w:pPr>
        <w:pStyle w:val="Header"/>
        <w:tabs>
          <w:tab w:val="clear" w:pos="4320"/>
          <w:tab w:val="clear" w:pos="8640"/>
          <w:tab w:val="left" w:pos="6210"/>
        </w:tabs>
        <w:jc w:val="both"/>
        <w:rPr>
          <w:sz w:val="18"/>
          <w:szCs w:val="22"/>
        </w:rPr>
      </w:pPr>
      <w:r w:rsidRPr="000060F0">
        <w:rPr>
          <w:sz w:val="18"/>
          <w:szCs w:val="22"/>
        </w:rPr>
        <w:t xml:space="preserve">Did the </w:t>
      </w:r>
      <w:r w:rsidR="00501EF8" w:rsidRPr="000060F0">
        <w:rPr>
          <w:sz w:val="18"/>
          <w:szCs w:val="22"/>
        </w:rPr>
        <w:t xml:space="preserve">Company hold investments </w:t>
      </w:r>
      <w:r w:rsidR="00620519" w:rsidRPr="000060F0">
        <w:rPr>
          <w:sz w:val="18"/>
          <w:szCs w:val="22"/>
        </w:rPr>
        <w:t>under a</w:t>
      </w:r>
      <w:r w:rsidR="00DF0DAB" w:rsidRPr="000060F0">
        <w:rPr>
          <w:sz w:val="18"/>
          <w:szCs w:val="22"/>
        </w:rPr>
        <w:t xml:space="preserve"> basket</w:t>
      </w:r>
      <w:r w:rsidR="00620519" w:rsidRPr="000060F0">
        <w:rPr>
          <w:sz w:val="18"/>
          <w:szCs w:val="22"/>
        </w:rPr>
        <w:t xml:space="preserve"> clause</w:t>
      </w:r>
      <w:r w:rsidRPr="000060F0">
        <w:rPr>
          <w:sz w:val="18"/>
          <w:szCs w:val="22"/>
        </w:rPr>
        <w:t xml:space="preserve"> as of December 31, 20</w:t>
      </w:r>
      <w:r w:rsidR="00E13B17" w:rsidRPr="000060F0">
        <w:rPr>
          <w:sz w:val="18"/>
          <w:szCs w:val="22"/>
        </w:rPr>
        <w:t>2</w:t>
      </w:r>
      <w:r w:rsidR="00DF0DAB" w:rsidRPr="000060F0">
        <w:rPr>
          <w:sz w:val="18"/>
          <w:szCs w:val="22"/>
        </w:rPr>
        <w:t>4</w:t>
      </w:r>
      <w:r w:rsidR="00501EF8" w:rsidRPr="000060F0">
        <w:rPr>
          <w:sz w:val="18"/>
          <w:szCs w:val="22"/>
        </w:rPr>
        <w:t xml:space="preserve">?  </w:t>
      </w:r>
    </w:p>
    <w:p w14:paraId="7841C21B" w14:textId="7119DF2E" w:rsidR="00501EF8" w:rsidRDefault="00501EF8" w:rsidP="00AB1ADE">
      <w:pPr>
        <w:pStyle w:val="Header"/>
        <w:tabs>
          <w:tab w:val="clear" w:pos="4320"/>
          <w:tab w:val="clear" w:pos="8640"/>
          <w:tab w:val="left" w:pos="6210"/>
        </w:tabs>
        <w:jc w:val="both"/>
        <w:rPr>
          <w:sz w:val="18"/>
          <w:szCs w:val="22"/>
        </w:rPr>
      </w:pPr>
      <w:r w:rsidRPr="000060F0">
        <w:rPr>
          <w:sz w:val="18"/>
          <w:szCs w:val="22"/>
        </w:rPr>
        <w:t xml:space="preserve">Yes </w:t>
      </w:r>
      <w:r w:rsidR="00CE14C1" w:rsidRPr="000060F0">
        <w:rPr>
          <w:sz w:val="18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1"/>
      <w:r w:rsidR="00CE14C1" w:rsidRPr="000060F0">
        <w:rPr>
          <w:sz w:val="18"/>
          <w:szCs w:val="22"/>
        </w:rPr>
        <w:instrText xml:space="preserve"> FORMCHECKBOX </w:instrText>
      </w:r>
      <w:r w:rsidR="00CE14C1" w:rsidRPr="000060F0">
        <w:rPr>
          <w:sz w:val="18"/>
          <w:szCs w:val="22"/>
        </w:rPr>
      </w:r>
      <w:r w:rsidR="00CE14C1" w:rsidRPr="000060F0">
        <w:rPr>
          <w:sz w:val="18"/>
          <w:szCs w:val="22"/>
        </w:rPr>
        <w:fldChar w:fldCharType="separate"/>
      </w:r>
      <w:r w:rsidR="00CE14C1" w:rsidRPr="000060F0">
        <w:rPr>
          <w:sz w:val="18"/>
          <w:szCs w:val="22"/>
        </w:rPr>
        <w:fldChar w:fldCharType="end"/>
      </w:r>
      <w:bookmarkEnd w:id="0"/>
      <w:r w:rsidRPr="000060F0">
        <w:rPr>
          <w:sz w:val="18"/>
          <w:szCs w:val="22"/>
        </w:rPr>
        <w:t xml:space="preserve">  No </w:t>
      </w:r>
      <w:r w:rsidR="00CE14C1" w:rsidRPr="000060F0">
        <w:rPr>
          <w:sz w:val="18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2"/>
      <w:r w:rsidR="00CE14C1" w:rsidRPr="000060F0">
        <w:rPr>
          <w:sz w:val="18"/>
          <w:szCs w:val="22"/>
        </w:rPr>
        <w:instrText xml:space="preserve"> FORMCHECKBOX </w:instrText>
      </w:r>
      <w:r w:rsidR="00CE14C1" w:rsidRPr="000060F0">
        <w:rPr>
          <w:sz w:val="18"/>
          <w:szCs w:val="22"/>
        </w:rPr>
      </w:r>
      <w:r w:rsidR="00CE14C1" w:rsidRPr="000060F0">
        <w:rPr>
          <w:sz w:val="18"/>
          <w:szCs w:val="22"/>
        </w:rPr>
        <w:fldChar w:fldCharType="separate"/>
      </w:r>
      <w:r w:rsidR="00CE14C1" w:rsidRPr="000060F0">
        <w:rPr>
          <w:sz w:val="18"/>
          <w:szCs w:val="22"/>
        </w:rPr>
        <w:fldChar w:fldCharType="end"/>
      </w:r>
      <w:bookmarkEnd w:id="1"/>
      <w:r w:rsidR="006369AF" w:rsidRPr="000060F0">
        <w:rPr>
          <w:sz w:val="18"/>
          <w:szCs w:val="22"/>
        </w:rPr>
        <w:t xml:space="preserve"> </w:t>
      </w:r>
      <w:r w:rsidRPr="000060F0">
        <w:rPr>
          <w:sz w:val="18"/>
          <w:szCs w:val="22"/>
        </w:rPr>
        <w:t xml:space="preserve">If </w:t>
      </w:r>
      <w:proofErr w:type="gramStart"/>
      <w:r w:rsidRPr="000060F0">
        <w:rPr>
          <w:sz w:val="18"/>
          <w:szCs w:val="22"/>
        </w:rPr>
        <w:t>Yes</w:t>
      </w:r>
      <w:proofErr w:type="gramEnd"/>
      <w:r w:rsidRPr="000060F0">
        <w:rPr>
          <w:sz w:val="18"/>
          <w:szCs w:val="22"/>
        </w:rPr>
        <w:t xml:space="preserve">, complete the chart below. If No, it is not necessary to complete the chart below.  </w:t>
      </w:r>
    </w:p>
    <w:p w14:paraId="0360067F" w14:textId="77777777" w:rsidR="001F0E0A" w:rsidRDefault="001F0E0A" w:rsidP="00AB1ADE">
      <w:pPr>
        <w:pStyle w:val="Header"/>
        <w:tabs>
          <w:tab w:val="clear" w:pos="4320"/>
          <w:tab w:val="clear" w:pos="8640"/>
          <w:tab w:val="left" w:pos="6210"/>
        </w:tabs>
        <w:jc w:val="both"/>
        <w:rPr>
          <w:sz w:val="18"/>
          <w:szCs w:val="22"/>
        </w:rPr>
      </w:pPr>
    </w:p>
    <w:p w14:paraId="2D11380A" w14:textId="77777777" w:rsidR="001F0E0A" w:rsidRPr="000060F0" w:rsidRDefault="001F0E0A" w:rsidP="00AB1ADE">
      <w:pPr>
        <w:pStyle w:val="Header"/>
        <w:tabs>
          <w:tab w:val="clear" w:pos="4320"/>
          <w:tab w:val="clear" w:pos="8640"/>
          <w:tab w:val="left" w:pos="6210"/>
        </w:tabs>
        <w:jc w:val="both"/>
        <w:rPr>
          <w:sz w:val="18"/>
          <w:szCs w:val="22"/>
        </w:rPr>
      </w:pPr>
    </w:p>
    <w:p w14:paraId="0DC086EA" w14:textId="77777777" w:rsidR="00443C49" w:rsidRPr="000060F0" w:rsidRDefault="00443C49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1620"/>
        <w:gridCol w:w="1735"/>
        <w:gridCol w:w="1685"/>
        <w:gridCol w:w="3090"/>
      </w:tblGrid>
      <w:tr w:rsidR="00D95398" w:rsidRPr="0002207D" w14:paraId="06FED081" w14:textId="77777777" w:rsidTr="000060F0">
        <w:tc>
          <w:tcPr>
            <w:tcW w:w="2670" w:type="dxa"/>
            <w:tcBorders>
              <w:bottom w:val="single" w:sz="4" w:space="0" w:color="auto"/>
            </w:tcBorders>
          </w:tcPr>
          <w:p w14:paraId="2E048837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DESCRIPTION</w:t>
            </w:r>
          </w:p>
          <w:p w14:paraId="7EEA6B36" w14:textId="662926EE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 xml:space="preserve">(Provide a complete and accurate description for each individual investment held in </w:t>
            </w:r>
            <w:r w:rsidR="00620519" w:rsidRPr="000060F0">
              <w:rPr>
                <w:sz w:val="16"/>
                <w:szCs w:val="16"/>
              </w:rPr>
              <w:t>b</w:t>
            </w:r>
            <w:r w:rsidRPr="000060F0">
              <w:rPr>
                <w:sz w:val="16"/>
                <w:szCs w:val="16"/>
              </w:rPr>
              <w:t>asket</w:t>
            </w:r>
            <w:r w:rsidR="00A61867">
              <w:rPr>
                <w:sz w:val="16"/>
                <w:szCs w:val="16"/>
              </w:rPr>
              <w:t>.</w:t>
            </w:r>
            <w:r w:rsidRPr="000060F0">
              <w:rPr>
                <w:sz w:val="16"/>
                <w:szCs w:val="16"/>
              </w:rPr>
              <w:t>)</w:t>
            </w:r>
          </w:p>
          <w:p w14:paraId="021FF088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</w:p>
          <w:p w14:paraId="1E5B32E7" w14:textId="133B5499" w:rsidR="00D95398" w:rsidRPr="000060F0" w:rsidRDefault="00D95398" w:rsidP="00423536">
            <w:pPr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 xml:space="preserve">List in order as they appear in applicable investment </w:t>
            </w:r>
            <w:r w:rsidR="00A61867" w:rsidRPr="000060F0">
              <w:rPr>
                <w:sz w:val="16"/>
                <w:szCs w:val="16"/>
              </w:rPr>
              <w:t>schedule.</w:t>
            </w:r>
          </w:p>
          <w:p w14:paraId="2BBC82D1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</w:p>
          <w:p w14:paraId="79F34D8F" w14:textId="77777777" w:rsidR="00D95398" w:rsidRPr="000060F0" w:rsidRDefault="00D95398">
            <w:pPr>
              <w:jc w:val="center"/>
              <w:rPr>
                <w:b/>
                <w:sz w:val="16"/>
                <w:szCs w:val="16"/>
              </w:rPr>
            </w:pPr>
            <w:r w:rsidRPr="000060F0">
              <w:rPr>
                <w:b/>
                <w:sz w:val="16"/>
                <w:szCs w:val="16"/>
              </w:rPr>
              <w:t>Upload additional pages if necessary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41D9907" w14:textId="2C5D6A7F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75%</w:t>
            </w:r>
          </w:p>
          <w:p w14:paraId="5E8491EF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OF</w:t>
            </w:r>
          </w:p>
          <w:p w14:paraId="1EDF6959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APPRAISED</w:t>
            </w:r>
          </w:p>
          <w:p w14:paraId="7BD947E8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VALUE</w:t>
            </w:r>
          </w:p>
          <w:p w14:paraId="59A8818C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</w:p>
          <w:p w14:paraId="307EB1D9" w14:textId="2CBB16D6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 xml:space="preserve">(Provide for </w:t>
            </w:r>
            <w:r w:rsidR="00620519" w:rsidRPr="000060F0">
              <w:rPr>
                <w:sz w:val="16"/>
                <w:szCs w:val="16"/>
              </w:rPr>
              <w:t>m</w:t>
            </w:r>
            <w:r w:rsidRPr="000060F0">
              <w:rPr>
                <w:sz w:val="16"/>
                <w:szCs w:val="16"/>
              </w:rPr>
              <w:t xml:space="preserve">ortgage </w:t>
            </w:r>
            <w:r w:rsidR="00620519" w:rsidRPr="000060F0">
              <w:rPr>
                <w:sz w:val="16"/>
                <w:szCs w:val="16"/>
              </w:rPr>
              <w:t>l</w:t>
            </w:r>
            <w:r w:rsidRPr="000060F0">
              <w:rPr>
                <w:sz w:val="16"/>
                <w:szCs w:val="16"/>
              </w:rPr>
              <w:t>oans only</w:t>
            </w:r>
            <w:r w:rsidR="00A61867">
              <w:rPr>
                <w:sz w:val="16"/>
                <w:szCs w:val="16"/>
              </w:rPr>
              <w:t>.</w:t>
            </w:r>
            <w:r w:rsidRPr="000060F0">
              <w:rPr>
                <w:sz w:val="16"/>
                <w:szCs w:val="16"/>
              </w:rPr>
              <w:t>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779B172" w14:textId="60615470" w:rsidR="00D95398" w:rsidRPr="000060F0" w:rsidRDefault="00114D8B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AMOUNT/VALUE</w:t>
            </w:r>
          </w:p>
          <w:p w14:paraId="62990D32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OF</w:t>
            </w:r>
          </w:p>
          <w:p w14:paraId="6D30F42A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INVESTMENT</w:t>
            </w:r>
          </w:p>
          <w:p w14:paraId="26B68D10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</w:p>
          <w:p w14:paraId="3DEE69AE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</w:p>
          <w:p w14:paraId="249C2C81" w14:textId="2067D6DA" w:rsidR="00D95398" w:rsidRPr="000060F0" w:rsidRDefault="0019442B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 xml:space="preserve">(Amount/Value as </w:t>
            </w:r>
            <w:r w:rsidR="00620519" w:rsidRPr="000060F0">
              <w:rPr>
                <w:sz w:val="16"/>
                <w:szCs w:val="16"/>
              </w:rPr>
              <w:t>r</w:t>
            </w:r>
            <w:r w:rsidRPr="000060F0">
              <w:rPr>
                <w:sz w:val="16"/>
                <w:szCs w:val="16"/>
              </w:rPr>
              <w:t xml:space="preserve">eported on the </w:t>
            </w:r>
            <w:r w:rsidR="00620519" w:rsidRPr="000060F0">
              <w:rPr>
                <w:sz w:val="16"/>
                <w:szCs w:val="16"/>
              </w:rPr>
              <w:t>b</w:t>
            </w:r>
            <w:r w:rsidRPr="000060F0">
              <w:rPr>
                <w:sz w:val="16"/>
                <w:szCs w:val="16"/>
              </w:rPr>
              <w:t xml:space="preserve">alance </w:t>
            </w:r>
            <w:r w:rsidR="00620519" w:rsidRPr="000060F0">
              <w:rPr>
                <w:sz w:val="16"/>
                <w:szCs w:val="16"/>
              </w:rPr>
              <w:t>s</w:t>
            </w:r>
            <w:r w:rsidRPr="000060F0">
              <w:rPr>
                <w:sz w:val="16"/>
                <w:szCs w:val="16"/>
              </w:rPr>
              <w:t>heet</w:t>
            </w:r>
            <w:r w:rsidR="00A61867">
              <w:rPr>
                <w:sz w:val="16"/>
                <w:szCs w:val="16"/>
              </w:rPr>
              <w:t>.</w:t>
            </w:r>
            <w:r w:rsidRPr="000060F0">
              <w:rPr>
                <w:sz w:val="16"/>
                <w:szCs w:val="16"/>
              </w:rPr>
              <w:t>)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16641593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EXCESS OR</w:t>
            </w:r>
          </w:p>
          <w:p w14:paraId="189C7189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AMOUNT</w:t>
            </w:r>
          </w:p>
          <w:p w14:paraId="44BC5309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HELD UNDER</w:t>
            </w:r>
          </w:p>
          <w:p w14:paraId="07CA57F0" w14:textId="0044DC7D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BASKET</w:t>
            </w:r>
          </w:p>
          <w:p w14:paraId="789C5997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CLAUSE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2125FA08" w14:textId="77777777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REMARKS</w:t>
            </w:r>
          </w:p>
          <w:p w14:paraId="48F5C844" w14:textId="7D458B31" w:rsidR="00D95398" w:rsidRPr="000060F0" w:rsidRDefault="00D95398">
            <w:pPr>
              <w:jc w:val="center"/>
              <w:rPr>
                <w:sz w:val="16"/>
                <w:szCs w:val="16"/>
              </w:rPr>
            </w:pPr>
            <w:r w:rsidRPr="000060F0">
              <w:rPr>
                <w:sz w:val="16"/>
                <w:szCs w:val="16"/>
              </w:rPr>
              <w:t>(Indicate whether the investment is current as to principal and interest</w:t>
            </w:r>
            <w:r w:rsidR="00A61867">
              <w:rPr>
                <w:sz w:val="16"/>
                <w:szCs w:val="16"/>
              </w:rPr>
              <w:t>.</w:t>
            </w:r>
            <w:r w:rsidRPr="000060F0">
              <w:rPr>
                <w:sz w:val="16"/>
                <w:szCs w:val="16"/>
              </w:rPr>
              <w:t>)</w:t>
            </w:r>
          </w:p>
          <w:p w14:paraId="1810BDDC" w14:textId="77777777" w:rsidR="00D95398" w:rsidRPr="000060F0" w:rsidRDefault="00D95398">
            <w:pPr>
              <w:jc w:val="center"/>
              <w:rPr>
                <w:color w:val="C0C0C0"/>
                <w:sz w:val="16"/>
                <w:szCs w:val="16"/>
              </w:rPr>
            </w:pPr>
          </w:p>
          <w:p w14:paraId="55505CA4" w14:textId="4AAA2B22" w:rsidR="00D95398" w:rsidRPr="000060F0" w:rsidRDefault="00D95398" w:rsidP="00296CDD">
            <w:pPr>
              <w:jc w:val="center"/>
              <w:rPr>
                <w:b/>
                <w:sz w:val="16"/>
                <w:szCs w:val="16"/>
              </w:rPr>
            </w:pPr>
            <w:r w:rsidRPr="000060F0">
              <w:rPr>
                <w:b/>
                <w:sz w:val="16"/>
                <w:szCs w:val="16"/>
              </w:rPr>
              <w:t xml:space="preserve">Provide an explanation as to why each individual investment is held in </w:t>
            </w:r>
            <w:r w:rsidR="00A74D04" w:rsidRPr="000060F0">
              <w:rPr>
                <w:b/>
                <w:sz w:val="16"/>
                <w:szCs w:val="16"/>
              </w:rPr>
              <w:t>b</w:t>
            </w:r>
            <w:r w:rsidRPr="000060F0">
              <w:rPr>
                <w:b/>
                <w:sz w:val="16"/>
                <w:szCs w:val="16"/>
              </w:rPr>
              <w:t>asket, including a reference to the statutory limitation</w:t>
            </w:r>
            <w:r w:rsidR="00A74D04" w:rsidRPr="000060F0">
              <w:rPr>
                <w:b/>
                <w:sz w:val="16"/>
                <w:szCs w:val="16"/>
              </w:rPr>
              <w:t xml:space="preserve"> that causes a portion of the investment to be held in basket</w:t>
            </w:r>
            <w:r w:rsidR="00A61867">
              <w:rPr>
                <w:b/>
                <w:sz w:val="16"/>
                <w:szCs w:val="16"/>
              </w:rPr>
              <w:t>.</w:t>
            </w:r>
          </w:p>
        </w:tc>
      </w:tr>
      <w:tr w:rsidR="00D95398" w:rsidRPr="0002207D" w14:paraId="24947CAA" w14:textId="77777777" w:rsidTr="000060F0">
        <w:tc>
          <w:tcPr>
            <w:tcW w:w="2670" w:type="dxa"/>
            <w:tcBorders>
              <w:bottom w:val="single" w:sz="4" w:space="0" w:color="auto"/>
            </w:tcBorders>
          </w:tcPr>
          <w:p w14:paraId="78919EEE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5FF7EE3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5B38AFB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3E781B8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13685513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121A31FC" w14:textId="77777777" w:rsidTr="000060F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F5986" w14:textId="77777777" w:rsidR="00D95398" w:rsidRPr="000060F0" w:rsidRDefault="00D95398">
            <w:pPr>
              <w:rPr>
                <w:sz w:val="16"/>
                <w:szCs w:val="22"/>
              </w:rPr>
            </w:pPr>
            <w:r w:rsidRPr="000060F0">
              <w:rPr>
                <w:sz w:val="16"/>
                <w:szCs w:val="22"/>
                <w:u w:val="single"/>
              </w:rPr>
              <w:t>Mortgage Loans</w:t>
            </w:r>
            <w:r w:rsidRPr="000060F0">
              <w:rPr>
                <w:sz w:val="16"/>
                <w:szCs w:val="22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22108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A2E9C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AF682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F98EB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7BA01A0E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662" w14:textId="16B7FBE3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A0165" w14:textId="46D293D8" w:rsidR="00D95398" w:rsidRPr="000060F0" w:rsidRDefault="00D95398" w:rsidP="003342E0">
            <w:pPr>
              <w:ind w:right="183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45F00" w14:textId="473EC2D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D5EA3" w14:textId="4DC5910A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472AC" w14:textId="5525C4DB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5676CC2B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488AA" w14:textId="7B492666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4CCF3" w14:textId="5F9105EC" w:rsidR="00D95398" w:rsidRPr="000060F0" w:rsidRDefault="003342E0" w:rsidP="003342E0">
            <w:pPr>
              <w:ind w:right="183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75A32" w14:textId="7665D3B3" w:rsidR="00D95398" w:rsidRPr="000060F0" w:rsidRDefault="003342E0" w:rsidP="003342E0">
            <w:pPr>
              <w:ind w:right="191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C1ACA" w14:textId="76D5DEDA" w:rsidR="00D95398" w:rsidRPr="000060F0" w:rsidRDefault="003342E0" w:rsidP="003342E0">
            <w:pPr>
              <w:ind w:right="18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C7D10" w14:textId="79F6BE8A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_____________________________</w:t>
            </w:r>
          </w:p>
        </w:tc>
      </w:tr>
      <w:tr w:rsidR="00D95398" w:rsidRPr="0002207D" w14:paraId="6408399F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3630B" w14:textId="77777777" w:rsidR="00D95398" w:rsidRPr="000060F0" w:rsidRDefault="00D95398">
            <w:pPr>
              <w:rPr>
                <w:sz w:val="16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DF4F1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A9D44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F9C5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DB9A9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4060A5BC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76F91" w14:textId="4F1BB3A1" w:rsidR="00D95398" w:rsidRPr="000060F0" w:rsidRDefault="00D95398">
            <w:pPr>
              <w:rPr>
                <w:sz w:val="16"/>
                <w:szCs w:val="22"/>
              </w:rPr>
            </w:pPr>
            <w:r w:rsidRPr="000060F0">
              <w:rPr>
                <w:sz w:val="16"/>
                <w:szCs w:val="22"/>
                <w:u w:val="single"/>
              </w:rPr>
              <w:t>Bonds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ABB0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4F42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28C65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A401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49E192BE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30260" w14:textId="38083D8B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65B3" w14:textId="4BFB77A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D58A0" w14:textId="40E77A4B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DA860" w14:textId="7B8FC855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131D4" w14:textId="13C8129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273521E4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75F42" w14:textId="167B154B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57A26" w14:textId="092A1152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BC9B6" w14:textId="1715B0D7" w:rsidR="00D95398" w:rsidRPr="000060F0" w:rsidRDefault="003342E0" w:rsidP="003342E0">
            <w:pPr>
              <w:ind w:right="191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63704" w14:textId="79BD951E" w:rsidR="00D95398" w:rsidRPr="000060F0" w:rsidRDefault="003342E0" w:rsidP="003342E0">
            <w:pPr>
              <w:ind w:right="18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95D83" w14:textId="2F4798A8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_____________________________</w:t>
            </w:r>
          </w:p>
        </w:tc>
      </w:tr>
      <w:tr w:rsidR="00D95398" w:rsidRPr="0002207D" w14:paraId="453BCCCE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1DD41" w14:textId="77777777" w:rsidR="00D95398" w:rsidRPr="000060F0" w:rsidRDefault="00D95398">
            <w:pPr>
              <w:rPr>
                <w:sz w:val="16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59965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A9AF8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80FC8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56E1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076C9A64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CD73A" w14:textId="74C6FF27" w:rsidR="00D95398" w:rsidRPr="000060F0" w:rsidRDefault="00D95398">
            <w:pPr>
              <w:rPr>
                <w:sz w:val="16"/>
                <w:szCs w:val="22"/>
              </w:rPr>
            </w:pPr>
            <w:r w:rsidRPr="000060F0">
              <w:rPr>
                <w:sz w:val="16"/>
                <w:szCs w:val="22"/>
                <w:u w:val="single"/>
              </w:rPr>
              <w:t>Stocks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E31DF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C25A2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C87BB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FB62B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429E2ECD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B116" w14:textId="469D32E4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FFDCE" w14:textId="2DE72D7D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89CCF" w14:textId="21171A7C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463ED" w14:textId="56AB5CC5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A53D1" w14:textId="294796A9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3D6752BC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638F3" w14:textId="16C28352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EB98" w14:textId="18C8DED1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115F" w14:textId="54D6F18A" w:rsidR="00D95398" w:rsidRPr="000060F0" w:rsidRDefault="003342E0" w:rsidP="003342E0">
            <w:pPr>
              <w:ind w:right="191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4133F" w14:textId="6ADE159B" w:rsidR="00D95398" w:rsidRPr="000060F0" w:rsidRDefault="003342E0" w:rsidP="003342E0">
            <w:pPr>
              <w:ind w:right="18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33865" w14:textId="4EAAEC89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_____________________________</w:t>
            </w:r>
          </w:p>
        </w:tc>
      </w:tr>
      <w:tr w:rsidR="00D95398" w:rsidRPr="0002207D" w14:paraId="02BB8DD2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DBA2F" w14:textId="77777777" w:rsidR="00D95398" w:rsidRPr="000060F0" w:rsidRDefault="00D95398">
            <w:pPr>
              <w:pStyle w:val="Heading2"/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ED8DF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2D128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ED434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FC594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600C7F4B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C569A" w14:textId="113768F1" w:rsidR="00D95398" w:rsidRPr="000060F0" w:rsidRDefault="00D95398">
            <w:pPr>
              <w:pStyle w:val="Heading2"/>
              <w:rPr>
                <w:sz w:val="16"/>
                <w:szCs w:val="22"/>
              </w:rPr>
            </w:pPr>
            <w:r w:rsidRPr="000060F0">
              <w:rPr>
                <w:sz w:val="16"/>
                <w:szCs w:val="22"/>
              </w:rPr>
              <w:t>Other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9568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F6A68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1F763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C887A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27103F19" w14:textId="77777777" w:rsidTr="000060F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4B51" w14:textId="62D05684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9CBF" w14:textId="6D18B98F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F379" w14:textId="442B2753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3499D" w14:textId="73349292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F204" w14:textId="53EA5DF1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D95398" w:rsidRPr="0002207D" w14:paraId="7B541459" w14:textId="77777777" w:rsidTr="003342E0"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6C0A" w14:textId="58D4C211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69C3A" w14:textId="6893A7A5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41425" w14:textId="0D9DA0F5" w:rsidR="00D95398" w:rsidRPr="000060F0" w:rsidRDefault="003342E0" w:rsidP="003342E0">
            <w:pPr>
              <w:ind w:right="191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59653" w14:textId="438156C3" w:rsidR="00D95398" w:rsidRPr="000060F0" w:rsidRDefault="003342E0" w:rsidP="003342E0">
            <w:pPr>
              <w:ind w:right="18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4D88B" w14:textId="03EBCB7D" w:rsidR="00D95398" w:rsidRPr="000060F0" w:rsidRDefault="003342E0">
            <w:pPr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_____________________________</w:t>
            </w:r>
          </w:p>
        </w:tc>
      </w:tr>
      <w:tr w:rsidR="00D95398" w:rsidRPr="0002207D" w14:paraId="5B478157" w14:textId="77777777" w:rsidTr="003342E0">
        <w:tc>
          <w:tcPr>
            <w:tcW w:w="2670" w:type="dxa"/>
            <w:tcBorders>
              <w:top w:val="nil"/>
              <w:bottom w:val="nil"/>
            </w:tcBorders>
          </w:tcPr>
          <w:p w14:paraId="639DA1F3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6F72021" w14:textId="77777777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6198817B" w14:textId="77777777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2AC3050" w14:textId="77777777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  <w:bottom w:val="nil"/>
            </w:tcBorders>
          </w:tcPr>
          <w:p w14:paraId="12C644BB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  <w:tr w:rsidR="003342E0" w:rsidRPr="0002207D" w14:paraId="132C8A54" w14:textId="77777777" w:rsidTr="003342E0">
        <w:tc>
          <w:tcPr>
            <w:tcW w:w="2670" w:type="dxa"/>
            <w:tcBorders>
              <w:top w:val="nil"/>
            </w:tcBorders>
          </w:tcPr>
          <w:p w14:paraId="5CD89E1F" w14:textId="77777777" w:rsidR="003342E0" w:rsidRPr="000060F0" w:rsidRDefault="003342E0">
            <w:pPr>
              <w:rPr>
                <w:sz w:val="16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D36E9AB" w14:textId="77777777" w:rsidR="003342E0" w:rsidRPr="000060F0" w:rsidRDefault="003342E0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14:paraId="3EAF403B" w14:textId="77777777" w:rsidR="003342E0" w:rsidRPr="000060F0" w:rsidRDefault="003342E0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643FDBB1" w14:textId="77777777" w:rsidR="003342E0" w:rsidRPr="000060F0" w:rsidRDefault="003342E0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nil"/>
            </w:tcBorders>
          </w:tcPr>
          <w:p w14:paraId="00DC015A" w14:textId="77777777" w:rsidR="003342E0" w:rsidRPr="000060F0" w:rsidRDefault="003342E0">
            <w:pPr>
              <w:rPr>
                <w:sz w:val="16"/>
                <w:szCs w:val="22"/>
              </w:rPr>
            </w:pPr>
          </w:p>
        </w:tc>
      </w:tr>
      <w:tr w:rsidR="00D95398" w:rsidRPr="0002207D" w14:paraId="161DD2B6" w14:textId="77777777" w:rsidTr="000060F0">
        <w:tc>
          <w:tcPr>
            <w:tcW w:w="2670" w:type="dxa"/>
            <w:tcBorders>
              <w:top w:val="single" w:sz="4" w:space="0" w:color="auto"/>
            </w:tcBorders>
          </w:tcPr>
          <w:p w14:paraId="6139C46A" w14:textId="77777777" w:rsidR="00D95398" w:rsidRPr="000060F0" w:rsidRDefault="00D95398">
            <w:pPr>
              <w:rPr>
                <w:sz w:val="16"/>
                <w:szCs w:val="22"/>
              </w:rPr>
            </w:pPr>
            <w:r w:rsidRPr="000060F0">
              <w:rPr>
                <w:sz w:val="16"/>
                <w:szCs w:val="22"/>
              </w:rPr>
              <w:t>TOTALS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F69A892" w14:textId="4CBB19D2" w:rsidR="00D95398" w:rsidRPr="000060F0" w:rsidRDefault="00D95398" w:rsidP="0019442B">
            <w:pPr>
              <w:ind w:right="183"/>
              <w:jc w:val="right"/>
              <w:rPr>
                <w:sz w:val="16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1374EECA" w14:textId="40DA5FC9" w:rsidR="00D95398" w:rsidRPr="000060F0" w:rsidRDefault="00D95398" w:rsidP="0019442B">
            <w:pPr>
              <w:ind w:right="191"/>
              <w:jc w:val="right"/>
              <w:rPr>
                <w:sz w:val="16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07F977B4" w14:textId="14997B56" w:rsidR="00D95398" w:rsidRPr="000060F0" w:rsidRDefault="00D95398" w:rsidP="0019442B">
            <w:pPr>
              <w:ind w:right="182"/>
              <w:jc w:val="right"/>
              <w:rPr>
                <w:sz w:val="16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14:paraId="0871F056" w14:textId="77777777" w:rsidR="00D95398" w:rsidRPr="000060F0" w:rsidRDefault="00D95398">
            <w:pPr>
              <w:rPr>
                <w:sz w:val="16"/>
                <w:szCs w:val="22"/>
              </w:rPr>
            </w:pPr>
          </w:p>
        </w:tc>
      </w:tr>
    </w:tbl>
    <w:p w14:paraId="763599D8" w14:textId="6776119B" w:rsidR="0044041F" w:rsidRPr="000060F0" w:rsidRDefault="0044041F" w:rsidP="003342E0">
      <w:pPr>
        <w:tabs>
          <w:tab w:val="left" w:pos="3900"/>
        </w:tabs>
        <w:rPr>
          <w:sz w:val="18"/>
          <w:szCs w:val="22"/>
        </w:rPr>
      </w:pPr>
    </w:p>
    <w:sectPr w:rsidR="0044041F" w:rsidRPr="000060F0" w:rsidSect="00984559">
      <w:headerReference w:type="default" r:id="rId11"/>
      <w:footerReference w:type="default" r:id="rId12"/>
      <w:pgSz w:w="12240" w:h="15840" w:code="1"/>
      <w:pgMar w:top="1440" w:right="1440" w:bottom="1440" w:left="1440" w:header="45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88C7" w14:textId="77777777" w:rsidR="00BD7B57" w:rsidRDefault="00BD7B57">
      <w:r>
        <w:separator/>
      </w:r>
    </w:p>
  </w:endnote>
  <w:endnote w:type="continuationSeparator" w:id="0">
    <w:p w14:paraId="38D2342D" w14:textId="77777777" w:rsidR="00BD7B57" w:rsidRDefault="00BD7B57">
      <w:r>
        <w:continuationSeparator/>
      </w:r>
    </w:p>
  </w:endnote>
  <w:endnote w:type="continuationNotice" w:id="1">
    <w:p w14:paraId="35149426" w14:textId="77777777" w:rsidR="001A66EE" w:rsidRDefault="001A6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67A4" w14:textId="33AECF76" w:rsidR="00596604" w:rsidRDefault="00596604">
    <w:pPr>
      <w:pStyle w:val="Footer"/>
      <w:rPr>
        <w:sz w:val="16"/>
      </w:rPr>
    </w:pPr>
    <w:r>
      <w:rPr>
        <w:sz w:val="16"/>
      </w:rPr>
      <w:t xml:space="preserve">Financial </w:t>
    </w:r>
    <w:r w:rsidR="0055771B">
      <w:rPr>
        <w:sz w:val="16"/>
      </w:rPr>
      <w:t>Analysis</w:t>
    </w:r>
    <w:r w:rsidR="000B2102">
      <w:rPr>
        <w:sz w:val="16"/>
      </w:rPr>
      <w:t xml:space="preserve"> (Tennessee Department of Commerce &amp; Insurance)</w:t>
    </w:r>
  </w:p>
  <w:p w14:paraId="4FAB8222" w14:textId="39EE8A9D" w:rsidR="00596604" w:rsidRPr="00C3149D" w:rsidRDefault="0055771B">
    <w:pPr>
      <w:pStyle w:val="Footer"/>
      <w:rPr>
        <w:sz w:val="16"/>
      </w:rPr>
    </w:pPr>
    <w:r w:rsidRPr="00C3149D">
      <w:rPr>
        <w:sz w:val="16"/>
      </w:rPr>
      <w:t>Basket</w:t>
    </w:r>
    <w:r w:rsidR="00596604" w:rsidRPr="00C3149D">
      <w:rPr>
        <w:sz w:val="16"/>
      </w:rPr>
      <w:t xml:space="preserve"> Clause Form</w:t>
    </w:r>
    <w:r w:rsidR="00733B48" w:rsidRPr="00C3149D">
      <w:rPr>
        <w:sz w:val="16"/>
      </w:rPr>
      <w:t xml:space="preserve"> – Form IN-</w:t>
    </w:r>
    <w:r w:rsidR="00C3149D" w:rsidRPr="00C3149D">
      <w:rPr>
        <w:sz w:val="16"/>
      </w:rPr>
      <w:t>21</w:t>
    </w:r>
    <w:r w:rsidR="00D4172C">
      <w:rPr>
        <w:sz w:val="16"/>
      </w:rPr>
      <w:t>0</w:t>
    </w:r>
    <w:r w:rsidR="00C3149D" w:rsidRPr="00C3149D">
      <w:rPr>
        <w:sz w:val="16"/>
      </w:rPr>
      <w:t>6</w:t>
    </w:r>
    <w:r w:rsidR="00733B48" w:rsidRPr="00C3149D">
      <w:rPr>
        <w:sz w:val="16"/>
      </w:rPr>
      <w:t xml:space="preserve"> (Rev.1</w:t>
    </w:r>
    <w:r w:rsidR="001F0E0A" w:rsidRPr="00C3149D">
      <w:rPr>
        <w:sz w:val="16"/>
      </w:rPr>
      <w:t>2</w:t>
    </w:r>
    <w:r w:rsidR="00733B48" w:rsidRPr="00C3149D">
      <w:rPr>
        <w:sz w:val="16"/>
      </w:rPr>
      <w:t>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BB63" w14:textId="77777777" w:rsidR="00BD7B57" w:rsidRDefault="00BD7B57">
      <w:r>
        <w:separator/>
      </w:r>
    </w:p>
  </w:footnote>
  <w:footnote w:type="continuationSeparator" w:id="0">
    <w:p w14:paraId="2A2CA786" w14:textId="77777777" w:rsidR="00BD7B57" w:rsidRDefault="00BD7B57">
      <w:r>
        <w:continuationSeparator/>
      </w:r>
    </w:p>
  </w:footnote>
  <w:footnote w:type="continuationNotice" w:id="1">
    <w:p w14:paraId="13F7C324" w14:textId="77777777" w:rsidR="001A66EE" w:rsidRDefault="001A6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343" w14:textId="22DFCD13" w:rsidR="00596604" w:rsidRDefault="004744CD" w:rsidP="000060F0">
    <w:pPr>
      <w:pStyle w:val="Header"/>
      <w:tabs>
        <w:tab w:val="left" w:pos="3018"/>
        <w:tab w:val="center" w:pos="7200"/>
      </w:tabs>
      <w:jc w:val="center"/>
    </w:pPr>
    <w:r>
      <w:object w:dxaOrig="1290" w:dyaOrig="1290" w14:anchorId="16587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TN Seal" style="width:64.5pt;height:64.5pt">
          <v:imagedata r:id="rId1" o:title=""/>
        </v:shape>
        <o:OLEObject Type="Embed" ProgID="Word.Picture.8" ShapeID="_x0000_i1025" DrawAspect="Content" ObjectID="_1829217766" r:id="rId2"/>
      </w:object>
    </w:r>
  </w:p>
  <w:p w14:paraId="16E1B1F0" w14:textId="77777777" w:rsidR="0002207D" w:rsidRPr="000060F0" w:rsidRDefault="0002207D" w:rsidP="0002207D">
    <w:pPr>
      <w:jc w:val="center"/>
      <w:rPr>
        <w:sz w:val="16"/>
        <w:szCs w:val="13"/>
      </w:rPr>
    </w:pPr>
    <w:r w:rsidRPr="000060F0">
      <w:rPr>
        <w:sz w:val="16"/>
        <w:szCs w:val="13"/>
      </w:rPr>
      <w:t>STATE OF TENNESSEE</w:t>
    </w:r>
  </w:p>
  <w:p w14:paraId="6B740812" w14:textId="77777777" w:rsidR="0002207D" w:rsidRPr="000060F0" w:rsidRDefault="0002207D" w:rsidP="0002207D">
    <w:pPr>
      <w:jc w:val="center"/>
      <w:rPr>
        <w:sz w:val="16"/>
        <w:szCs w:val="13"/>
      </w:rPr>
    </w:pPr>
    <w:r w:rsidRPr="000060F0">
      <w:rPr>
        <w:sz w:val="16"/>
        <w:szCs w:val="13"/>
      </w:rPr>
      <w:t>DEPARTMENT OF COMMERCE AND INSURANCE</w:t>
    </w:r>
  </w:p>
  <w:p w14:paraId="5D668A1B" w14:textId="77777777" w:rsidR="0002207D" w:rsidRPr="000060F0" w:rsidRDefault="0002207D" w:rsidP="0002207D">
    <w:pPr>
      <w:jc w:val="center"/>
      <w:rPr>
        <w:sz w:val="16"/>
        <w:szCs w:val="13"/>
      </w:rPr>
    </w:pPr>
    <w:r w:rsidRPr="000060F0">
      <w:rPr>
        <w:sz w:val="16"/>
        <w:szCs w:val="13"/>
      </w:rPr>
      <w:t>Financial Affairs Section / Analytical Unit 0576</w:t>
    </w:r>
  </w:p>
  <w:p w14:paraId="41CD197B" w14:textId="77777777" w:rsidR="0002207D" w:rsidRPr="000060F0" w:rsidRDefault="0002207D" w:rsidP="0002207D">
    <w:pPr>
      <w:jc w:val="center"/>
      <w:rPr>
        <w:sz w:val="16"/>
        <w:szCs w:val="13"/>
      </w:rPr>
    </w:pPr>
    <w:r w:rsidRPr="000060F0">
      <w:rPr>
        <w:sz w:val="16"/>
        <w:szCs w:val="13"/>
      </w:rPr>
      <w:t>500 James Robertson Parkway, 10th Floor</w:t>
    </w:r>
  </w:p>
  <w:p w14:paraId="65F81DB6" w14:textId="74575E32" w:rsidR="0002207D" w:rsidRPr="000060F0" w:rsidRDefault="0002207D" w:rsidP="0002207D">
    <w:pPr>
      <w:pStyle w:val="Header"/>
      <w:jc w:val="center"/>
      <w:rPr>
        <w:sz w:val="18"/>
        <w:szCs w:val="22"/>
      </w:rPr>
    </w:pPr>
    <w:r w:rsidRPr="000060F0">
      <w:rPr>
        <w:sz w:val="16"/>
        <w:szCs w:val="13"/>
      </w:rPr>
      <w:t>Nashville, Tennessee 37243-1132</w:t>
    </w:r>
    <w:r w:rsidRPr="000060F0">
      <w:rPr>
        <w:sz w:val="16"/>
        <w:szCs w:val="13"/>
      </w:rPr>
      <w:br/>
      <w:t>(615) 741-1670</w:t>
    </w:r>
  </w:p>
  <w:p w14:paraId="6C7DFD47" w14:textId="77777777" w:rsidR="0002207D" w:rsidRDefault="0002207D" w:rsidP="000060F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19"/>
    <w:rsid w:val="000060F0"/>
    <w:rsid w:val="0002207D"/>
    <w:rsid w:val="00030DE8"/>
    <w:rsid w:val="00046C40"/>
    <w:rsid w:val="00076FDC"/>
    <w:rsid w:val="00083933"/>
    <w:rsid w:val="00093F20"/>
    <w:rsid w:val="00094E82"/>
    <w:rsid w:val="000B2102"/>
    <w:rsid w:val="000C40A4"/>
    <w:rsid w:val="000D6843"/>
    <w:rsid w:val="000E7183"/>
    <w:rsid w:val="00101D35"/>
    <w:rsid w:val="00102D47"/>
    <w:rsid w:val="00114D8B"/>
    <w:rsid w:val="001172B9"/>
    <w:rsid w:val="001401CF"/>
    <w:rsid w:val="00175966"/>
    <w:rsid w:val="0018068F"/>
    <w:rsid w:val="0018378C"/>
    <w:rsid w:val="001931FA"/>
    <w:rsid w:val="0019442B"/>
    <w:rsid w:val="001A66EE"/>
    <w:rsid w:val="001C6742"/>
    <w:rsid w:val="001E0751"/>
    <w:rsid w:val="001F0E0A"/>
    <w:rsid w:val="002037E9"/>
    <w:rsid w:val="00212E31"/>
    <w:rsid w:val="0023354D"/>
    <w:rsid w:val="002371BA"/>
    <w:rsid w:val="00276697"/>
    <w:rsid w:val="00281304"/>
    <w:rsid w:val="00296CDD"/>
    <w:rsid w:val="002D304D"/>
    <w:rsid w:val="002D6A97"/>
    <w:rsid w:val="00301609"/>
    <w:rsid w:val="0030449C"/>
    <w:rsid w:val="003224EA"/>
    <w:rsid w:val="003342E0"/>
    <w:rsid w:val="0034597B"/>
    <w:rsid w:val="003727A9"/>
    <w:rsid w:val="00375389"/>
    <w:rsid w:val="00387CDF"/>
    <w:rsid w:val="00394E99"/>
    <w:rsid w:val="00423536"/>
    <w:rsid w:val="004319D1"/>
    <w:rsid w:val="00434446"/>
    <w:rsid w:val="0044041F"/>
    <w:rsid w:val="00443C49"/>
    <w:rsid w:val="004478FD"/>
    <w:rsid w:val="00450646"/>
    <w:rsid w:val="004744CD"/>
    <w:rsid w:val="0048364D"/>
    <w:rsid w:val="004B0FDE"/>
    <w:rsid w:val="004D31B1"/>
    <w:rsid w:val="004D6946"/>
    <w:rsid w:val="00501EF8"/>
    <w:rsid w:val="00520F57"/>
    <w:rsid w:val="005342A6"/>
    <w:rsid w:val="0055771B"/>
    <w:rsid w:val="005700FE"/>
    <w:rsid w:val="00575F96"/>
    <w:rsid w:val="00596604"/>
    <w:rsid w:val="005A3E36"/>
    <w:rsid w:val="005A4E0B"/>
    <w:rsid w:val="005E3299"/>
    <w:rsid w:val="005F00AF"/>
    <w:rsid w:val="00600B19"/>
    <w:rsid w:val="00605A18"/>
    <w:rsid w:val="00620519"/>
    <w:rsid w:val="006368BA"/>
    <w:rsid w:val="006369AF"/>
    <w:rsid w:val="006435AA"/>
    <w:rsid w:val="00677D57"/>
    <w:rsid w:val="006E587B"/>
    <w:rsid w:val="006F0E44"/>
    <w:rsid w:val="00703E66"/>
    <w:rsid w:val="00711C1F"/>
    <w:rsid w:val="007156EE"/>
    <w:rsid w:val="00721B21"/>
    <w:rsid w:val="00733B48"/>
    <w:rsid w:val="007716C5"/>
    <w:rsid w:val="007848DE"/>
    <w:rsid w:val="007F271A"/>
    <w:rsid w:val="008279A7"/>
    <w:rsid w:val="0084226F"/>
    <w:rsid w:val="00856134"/>
    <w:rsid w:val="00881902"/>
    <w:rsid w:val="008D2828"/>
    <w:rsid w:val="008F1498"/>
    <w:rsid w:val="0090367F"/>
    <w:rsid w:val="00922C2C"/>
    <w:rsid w:val="00944634"/>
    <w:rsid w:val="009555C1"/>
    <w:rsid w:val="00984559"/>
    <w:rsid w:val="00996889"/>
    <w:rsid w:val="009A602E"/>
    <w:rsid w:val="009E2F8A"/>
    <w:rsid w:val="009E691B"/>
    <w:rsid w:val="009E7D57"/>
    <w:rsid w:val="00A20921"/>
    <w:rsid w:val="00A576D4"/>
    <w:rsid w:val="00A61867"/>
    <w:rsid w:val="00A74D04"/>
    <w:rsid w:val="00A8725F"/>
    <w:rsid w:val="00AB1ADE"/>
    <w:rsid w:val="00AD7EF7"/>
    <w:rsid w:val="00B10187"/>
    <w:rsid w:val="00B33D1A"/>
    <w:rsid w:val="00B46F59"/>
    <w:rsid w:val="00B70065"/>
    <w:rsid w:val="00BC2999"/>
    <w:rsid w:val="00BD7B57"/>
    <w:rsid w:val="00BE567D"/>
    <w:rsid w:val="00BE6129"/>
    <w:rsid w:val="00C11F54"/>
    <w:rsid w:val="00C1274A"/>
    <w:rsid w:val="00C2067B"/>
    <w:rsid w:val="00C3149D"/>
    <w:rsid w:val="00C319CE"/>
    <w:rsid w:val="00C363AE"/>
    <w:rsid w:val="00C91EA6"/>
    <w:rsid w:val="00CA11CC"/>
    <w:rsid w:val="00CA301D"/>
    <w:rsid w:val="00CA697F"/>
    <w:rsid w:val="00CB0AB5"/>
    <w:rsid w:val="00CD19BC"/>
    <w:rsid w:val="00CE14C1"/>
    <w:rsid w:val="00CE29EE"/>
    <w:rsid w:val="00CE4DC5"/>
    <w:rsid w:val="00D0657E"/>
    <w:rsid w:val="00D276D6"/>
    <w:rsid w:val="00D318DF"/>
    <w:rsid w:val="00D4172C"/>
    <w:rsid w:val="00D846FC"/>
    <w:rsid w:val="00D90500"/>
    <w:rsid w:val="00D95398"/>
    <w:rsid w:val="00DC7FD5"/>
    <w:rsid w:val="00DF0DAB"/>
    <w:rsid w:val="00DF3FD3"/>
    <w:rsid w:val="00E041C9"/>
    <w:rsid w:val="00E13B17"/>
    <w:rsid w:val="00E22754"/>
    <w:rsid w:val="00E60910"/>
    <w:rsid w:val="00E6108B"/>
    <w:rsid w:val="00ED1CD1"/>
    <w:rsid w:val="00ED7712"/>
    <w:rsid w:val="00F025DF"/>
    <w:rsid w:val="00F4393E"/>
    <w:rsid w:val="00F4629F"/>
    <w:rsid w:val="00FB3FBD"/>
    <w:rsid w:val="00FB64E1"/>
    <w:rsid w:val="00FE1A10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06BECD80"/>
  <w15:chartTrackingRefBased/>
  <w15:docId w15:val="{01BA170A-D7E3-410E-921E-78F80D84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5DF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F025DF"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rsid w:val="00F025DF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5D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025DF"/>
    <w:pPr>
      <w:jc w:val="center"/>
    </w:pPr>
    <w:rPr>
      <w:u w:val="single"/>
    </w:rPr>
  </w:style>
  <w:style w:type="paragraph" w:styleId="BalloonText">
    <w:name w:val="Balloon Text"/>
    <w:basedOn w:val="Normal"/>
    <w:link w:val="BalloonTextChar"/>
    <w:rsid w:val="009E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7D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6742"/>
    <w:rPr>
      <w:rFonts w:ascii="Arial" w:hAnsi="Arial" w:cs="Arial"/>
      <w:szCs w:val="24"/>
    </w:rPr>
  </w:style>
  <w:style w:type="character" w:styleId="Hyperlink">
    <w:name w:val="Hyperlink"/>
    <w:basedOn w:val="DefaultParagraphFont"/>
    <w:rsid w:val="0019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4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6205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51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2051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0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519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301609"/>
    <w:rPr>
      <w:color w:val="954F72" w:themeColor="followedHyperlink"/>
      <w:u w:val="single"/>
    </w:rPr>
  </w:style>
  <w:style w:type="table" w:styleId="TableGrid">
    <w:name w:val="Table Grid"/>
    <w:basedOn w:val="TableNormal"/>
    <w:rsid w:val="0002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ance.lexis.com/documentpage/?pdmfid=1000516&amp;crid=489047eb-a8dd-4651-9c06-b40113845ee2&amp;nodeid=ACEAADAAEAAC&amp;nodepath=%2FROOT%2FACE%2FACEAAD%2FACEAADAAE%2FACEAADAAEAAC&amp;level=4&amp;haschildren=&amp;populated=false&amp;title=56-3-402.+Investment+of+assets+by+certain+domestic+insurance+companies.&amp;config=025054JABlOTJjNmIyNi0wYjI0LTRjZGEtYWE5ZC0zNGFhOWNhMjFlNDgKAFBvZENhdGFsb2cDFQ14bX2GfyBTaI9WcPX5&amp;pddocfullpath=%2Fshared%2Fdocument%2Fstatutes-legislation%2Furn%3AcontentItem%3A4WYH-TR50-R03M-B1S3-00008-00&amp;ecomp=6gf5kkk&amp;prid=7e8277be-a5bb-4468-864a-528a5fbfcc2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vance.lexis.com/documentpage/?pdmfid=1000516&amp;crid=7803a19c-e84d-4512-bca1-7ee1aeaf48e2&amp;nodeid=ACEAADAADAAD&amp;nodepath=%2FROOT%2FACE%2FACEAAD%2FACEAADAAD%2FACEAADAADAAD&amp;level=4&amp;haschildren=&amp;populated=false&amp;title=56-3-303.+Authorized+investments.&amp;config=025054JABlOTJjNmIyNi0wYjI0LTRjZGEtYWE5ZC0zNGFhOWNhMjFlNDgKAFBvZENhdGFsb2cDFQ14bX2GfyBTaI9WcPX5&amp;pddocfullpath=%2Fshared%2Fdocument%2Fstatutes-legislation%2Furn%3AcontentItem%3A4WYH-TR40-R03K-V1RW-00008-00&amp;ecomp=6gf5kkk&amp;prid=7e8277be-a5bb-4468-864a-528a5fbfcc2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dvance.lexis.com/documentpage/?pdmfid=1000516&amp;crid=489047eb-a8dd-4651-9c06-b40113845ee2&amp;nodeid=ACEAADAAEAAC&amp;nodepath=%2FROOT%2FACE%2FACEAAD%2FACEAADAAE%2FACEAADAAEAAC&amp;level=4&amp;haschildren=&amp;populated=false&amp;title=56-3-402.+Investment+of+assets+by+certain+domestic+insurance+companies.&amp;config=025054JABlOTJjNmIyNi0wYjI0LTRjZGEtYWE5ZC0zNGFhOWNhMjFlNDgKAFBvZENhdGFsb2cDFQ14bX2GfyBTaI9WcPX5&amp;pddocfullpath=%2Fshared%2Fdocument%2Fstatutes-legislation%2Furn%3AcontentItem%3A4WYH-TR50-R03M-B1S3-00008-00&amp;ecomp=6gf5kkk&amp;prid=7e8277be-a5bb-4468-864a-528a5fbfcc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vance.lexis.com/documentpage/?pdmfid=1000516&amp;crid=7803a19c-e84d-4512-bca1-7ee1aeaf48e2&amp;nodeid=ACEAADAADAAD&amp;nodepath=%2FROOT%2FACE%2FACEAAD%2FACEAADAAD%2FACEAADAADAAD&amp;level=4&amp;haschildren=&amp;populated=false&amp;title=56-3-303.+Authorized+investments.&amp;config=025054JABlOTJjNmIyNi0wYjI0LTRjZGEtYWE5ZC0zNGFhOWNhMjFlNDgKAFBvZENhdGFsb2cDFQ14bX2GfyBTaI9WcPX5&amp;pddocfullpath=%2Fshared%2Fdocument%2Fstatutes-legislation%2Furn%3AcontentItem%3A4WYH-TR40-R03K-V1RW-00008-00&amp;ecomp=6gf5kkk&amp;prid=7e8277be-a5bb-4468-864a-528a5fbfcc2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8D2A-F0E6-4778-A5DC-5FBC38F91F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</vt:lpstr>
    </vt:vector>
  </TitlesOfParts>
  <Company>Kansas Insurance Dept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subject/>
  <dc:creator>Linda Scott</dc:creator>
  <cp:keywords/>
  <cp:lastModifiedBy>Peter Roth</cp:lastModifiedBy>
  <cp:revision>2</cp:revision>
  <cp:lastPrinted>2013-10-09T20:45:00Z</cp:lastPrinted>
  <dcterms:created xsi:type="dcterms:W3CDTF">2026-01-06T21:16:00Z</dcterms:created>
  <dcterms:modified xsi:type="dcterms:W3CDTF">2026-01-06T21:16:00Z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835c283e-9096-46ee-aaa6-60c2f39be73e</vt:lpwstr>
  </property>
</Properties>
</file>