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EBBF" w14:textId="6444D55D" w:rsidR="0034365F" w:rsidRDefault="006B6A56" w:rsidP="00560B2B">
      <w:pPr>
        <w:spacing w:after="240"/>
        <w:jc w:val="center"/>
      </w:pPr>
      <w:r w:rsidRPr="006B6A56">
        <w:t xml:space="preserve">RESOLUTION NO. </w:t>
      </w:r>
      <w:r w:rsidR="00257A5A">
        <w:t>_____</w:t>
      </w:r>
    </w:p>
    <w:p w14:paraId="47F6B5FC" w14:textId="55E5CDC9" w:rsidR="006B6A56" w:rsidRDefault="006B6A56" w:rsidP="0034365F">
      <w:pPr>
        <w:pStyle w:val="Quote"/>
        <w:jc w:val="center"/>
      </w:pPr>
      <w:r>
        <w:t xml:space="preserve">A RESOLUTION AUTHORIZING </w:t>
      </w:r>
      <w:r w:rsidR="00260D32">
        <w:t>_______</w:t>
      </w:r>
      <w:r>
        <w:t xml:space="preserve"> COUNTY TO JOIN THE STATE OF </w:t>
      </w:r>
      <w:r w:rsidR="00FD194A">
        <w:t>TENNESSEE</w:t>
      </w:r>
      <w:r>
        <w:t xml:space="preserve"> AND OTHER LOCAL GOVERNMENT</w:t>
      </w:r>
      <w:r w:rsidR="0047249C">
        <w:t>S</w:t>
      </w:r>
      <w:r>
        <w:t xml:space="preserve"> </w:t>
      </w:r>
      <w:r w:rsidR="00FD194A">
        <w:t xml:space="preserve">IN </w:t>
      </w:r>
      <w:r w:rsidR="00286084">
        <w:t xml:space="preserve">AMENDING </w:t>
      </w:r>
      <w:r w:rsidR="00CF6F2D">
        <w:t xml:space="preserve">THE </w:t>
      </w:r>
      <w:r w:rsidR="00FD194A" w:rsidRPr="00FD194A">
        <w:t>TENNESSEE STATE-SUBDIVISION OPIOID ABATEMENT AGREEMENT</w:t>
      </w:r>
      <w:r w:rsidR="0047249C">
        <w:t xml:space="preserve"> AND APPROVING THE RELATED SETTLEMENT AGREEMENT</w:t>
      </w:r>
      <w:r w:rsidR="00B83A3A">
        <w:t>S</w:t>
      </w:r>
    </w:p>
    <w:p w14:paraId="45B2F13C" w14:textId="1B7C6095" w:rsidR="00846516" w:rsidRDefault="00B53022" w:rsidP="00A11594">
      <w:pPr>
        <w:pStyle w:val="BodyText"/>
        <w:jc w:val="both"/>
      </w:pPr>
      <w:r>
        <w:t>WHEREAS, the opioid</w:t>
      </w:r>
      <w:r w:rsidR="00846516">
        <w:t xml:space="preserve"> epidemic continues to impact </w:t>
      </w:r>
      <w:r w:rsidR="00257A5A">
        <w:t>communities</w:t>
      </w:r>
      <w:r w:rsidR="00846516">
        <w:t xml:space="preserve"> in the United States, the State of Tennessee, and ____ County, Tennessee.</w:t>
      </w:r>
    </w:p>
    <w:p w14:paraId="5EB055D8" w14:textId="0206A5C0" w:rsidR="006B6A56" w:rsidRDefault="006B6A56" w:rsidP="00A11594">
      <w:pPr>
        <w:pStyle w:val="BodyText"/>
        <w:jc w:val="both"/>
      </w:pPr>
      <w:r w:rsidRPr="006B6A56">
        <w:t xml:space="preserve">WHEREAS, </w:t>
      </w:r>
      <w:r w:rsidR="00260D32">
        <w:t>_________</w:t>
      </w:r>
      <w:r w:rsidRPr="006B6A56">
        <w:t xml:space="preserve"> County has suffered harm </w:t>
      </w:r>
      <w:r w:rsidR="00257A5A">
        <w:t>and will continue to suffer harm as a result of</w:t>
      </w:r>
      <w:r w:rsidR="00257A5A" w:rsidRPr="006B6A56">
        <w:t xml:space="preserve"> the opioid epidemic</w:t>
      </w:r>
      <w:r w:rsidRPr="006B6A56">
        <w:t>;</w:t>
      </w:r>
    </w:p>
    <w:p w14:paraId="2DDA1C62" w14:textId="0C1CEEA8" w:rsidR="006B6A56" w:rsidRDefault="001C3E48" w:rsidP="00A11594">
      <w:pPr>
        <w:pStyle w:val="BodyText"/>
        <w:jc w:val="both"/>
      </w:pPr>
      <w:r>
        <w:t xml:space="preserve">WHEREAS, </w:t>
      </w:r>
      <w:r w:rsidR="00FA4A59">
        <w:t xml:space="preserve">the State of Tennessee and </w:t>
      </w:r>
      <w:r w:rsidR="00260D32">
        <w:t>some Tennessee</w:t>
      </w:r>
      <w:r>
        <w:t xml:space="preserve"> </w:t>
      </w:r>
      <w:r w:rsidR="00FA4A59">
        <w:t xml:space="preserve">local governments </w:t>
      </w:r>
      <w:r>
        <w:t xml:space="preserve">have filed </w:t>
      </w:r>
      <w:r w:rsidR="00260D32">
        <w:t xml:space="preserve">lawsuits </w:t>
      </w:r>
      <w:r w:rsidR="00B53022">
        <w:t>against opioid</w:t>
      </w:r>
      <w:r w:rsidR="00257A5A">
        <w:t xml:space="preserve"> manufacturers, distributors, and retailers, </w:t>
      </w:r>
      <w:r w:rsidR="00FA4A59">
        <w:t xml:space="preserve">including many federal lawsuits by Tennessee counties and cities that </w:t>
      </w:r>
      <w:r w:rsidR="00257A5A">
        <w:t xml:space="preserve">are </w:t>
      </w:r>
      <w:r w:rsidR="00260D32">
        <w:t>pending in the litigation captioned</w:t>
      </w:r>
      <w:r>
        <w:t xml:space="preserve"> In re: National Prescription Opiate Litigation, MDL No. 2804 (N.D. Ohio) (the MDL case is referred to as the “Op</w:t>
      </w:r>
      <w:r w:rsidR="00260D32">
        <w:t>ioid Litigation”);</w:t>
      </w:r>
    </w:p>
    <w:p w14:paraId="4CFC4DAA" w14:textId="00D7AD64" w:rsidR="004E423A" w:rsidRDefault="004E423A" w:rsidP="00A11594">
      <w:pPr>
        <w:pStyle w:val="BodyText"/>
        <w:jc w:val="both"/>
      </w:pPr>
      <w:r>
        <w:t>WHER</w:t>
      </w:r>
      <w:r w:rsidR="0064355F">
        <w:t>E</w:t>
      </w:r>
      <w:r>
        <w:t xml:space="preserve">AS, ___________ County has previously joined </w:t>
      </w:r>
      <w:r w:rsidR="008015F6">
        <w:t xml:space="preserve">settlements with </w:t>
      </w:r>
      <w:r w:rsidR="006F66E4">
        <w:t xml:space="preserve">multiple </w:t>
      </w:r>
      <w:r w:rsidR="008015F6" w:rsidRPr="008015F6">
        <w:t xml:space="preserve">pharmaceutical </w:t>
      </w:r>
      <w:r w:rsidR="008015F6">
        <w:t>distributors</w:t>
      </w:r>
      <w:r w:rsidR="005F38E9">
        <w:t xml:space="preserve">, </w:t>
      </w:r>
      <w:r w:rsidR="008015F6">
        <w:t>manufacturer</w:t>
      </w:r>
      <w:r w:rsidR="005F38E9">
        <w:t>s, and retail pharmacies</w:t>
      </w:r>
      <w:r w:rsidR="00D90D4F">
        <w:t>;</w:t>
      </w:r>
      <w:r w:rsidR="008015F6">
        <w:t xml:space="preserve"> </w:t>
      </w:r>
    </w:p>
    <w:p w14:paraId="190CE0EE" w14:textId="0772494F" w:rsidR="00B83A3A" w:rsidRDefault="0047249C" w:rsidP="00A11594">
      <w:pPr>
        <w:pStyle w:val="BodyText"/>
        <w:jc w:val="both"/>
      </w:pPr>
      <w:r>
        <w:t xml:space="preserve">WHEREAS, </w:t>
      </w:r>
      <w:r w:rsidR="00B83A3A">
        <w:t xml:space="preserve">a proposed settlement has been reached that would address claims in the Purdue Pharma bankruptcy case and resolve claims against the Sackler family owners of the company (the “Purdue </w:t>
      </w:r>
      <w:r w:rsidR="00191EBC">
        <w:t>S</w:t>
      </w:r>
      <w:r w:rsidR="00B83A3A">
        <w:t xml:space="preserve">ettlement”); </w:t>
      </w:r>
    </w:p>
    <w:p w14:paraId="5A98A372" w14:textId="6304354F" w:rsidR="00191EBC" w:rsidRDefault="00B83A3A" w:rsidP="00A11594">
      <w:pPr>
        <w:pStyle w:val="BodyText"/>
        <w:jc w:val="both"/>
      </w:pPr>
      <w:r>
        <w:t xml:space="preserve">WHEREAS, </w:t>
      </w:r>
      <w:r w:rsidR="00191EBC">
        <w:t xml:space="preserve">proposed settlements have also been reached with eight other manufacturers: </w:t>
      </w:r>
      <w:proofErr w:type="spellStart"/>
      <w:r w:rsidR="00191EBC" w:rsidRPr="00191EBC">
        <w:t>Alvogen</w:t>
      </w:r>
      <w:proofErr w:type="spellEnd"/>
      <w:r w:rsidR="00191EBC" w:rsidRPr="00191EBC">
        <w:t xml:space="preserve">, </w:t>
      </w:r>
      <w:proofErr w:type="spellStart"/>
      <w:r w:rsidR="00191EBC" w:rsidRPr="00191EBC">
        <w:t>Amneal</w:t>
      </w:r>
      <w:proofErr w:type="spellEnd"/>
      <w:r w:rsidR="00191EBC" w:rsidRPr="00191EBC">
        <w:t xml:space="preserve">, </w:t>
      </w:r>
      <w:proofErr w:type="spellStart"/>
      <w:r w:rsidR="00191EBC" w:rsidRPr="00191EBC">
        <w:t>Apotex</w:t>
      </w:r>
      <w:proofErr w:type="spellEnd"/>
      <w:r w:rsidR="00191EBC" w:rsidRPr="00191EBC">
        <w:t>, Hikma, Indivior, Mylan, Sun, and Zydus</w:t>
      </w:r>
      <w:r w:rsidR="00191EBC">
        <w:t xml:space="preserve"> (“Eight Manufacturer Settlem</w:t>
      </w:r>
      <w:r w:rsidR="002D6D86">
        <w:t>ents”)</w:t>
      </w:r>
      <w:r w:rsidR="00191EBC">
        <w:t>;</w:t>
      </w:r>
    </w:p>
    <w:p w14:paraId="1FA09BD8" w14:textId="3EEB4129" w:rsidR="0047249C" w:rsidRPr="002E326E" w:rsidRDefault="00191EBC" w:rsidP="00A11594">
      <w:pPr>
        <w:pStyle w:val="BodyText"/>
        <w:jc w:val="both"/>
      </w:pPr>
      <w:r>
        <w:t xml:space="preserve">WHEREAS, </w:t>
      </w:r>
      <w:r w:rsidR="0047249C">
        <w:t>___________ County find</w:t>
      </w:r>
      <w:r w:rsidR="00D90D4F">
        <w:t>s</w:t>
      </w:r>
      <w:r w:rsidR="0047249C">
        <w:t xml:space="preserve"> </w:t>
      </w:r>
      <w:r w:rsidR="002D6D86">
        <w:t xml:space="preserve">the Purdue Settlement and Eight Manufacturer Settlements </w:t>
      </w:r>
      <w:r w:rsidR="0047249C">
        <w:t xml:space="preserve">acceptable and in the </w:t>
      </w:r>
      <w:r w:rsidR="0047249C" w:rsidRPr="002E326E">
        <w:t xml:space="preserve">best interest of the community; </w:t>
      </w:r>
    </w:p>
    <w:p w14:paraId="237F9812" w14:textId="2CBA7A01" w:rsidR="00260D32" w:rsidRDefault="00260D32" w:rsidP="00A11594">
      <w:pPr>
        <w:pStyle w:val="BodyText"/>
        <w:jc w:val="both"/>
      </w:pPr>
      <w:r w:rsidRPr="002E326E">
        <w:lastRenderedPageBreak/>
        <w:t>WHEREAS</w:t>
      </w:r>
      <w:r w:rsidR="00FD194A" w:rsidRPr="002E326E">
        <w:t xml:space="preserve">, the Tennessee legislature </w:t>
      </w:r>
      <w:r w:rsidRPr="002E326E">
        <w:t xml:space="preserve">enacted </w:t>
      </w:r>
      <w:r w:rsidR="00FD194A" w:rsidRPr="002E326E">
        <w:t>Public Chapter No. 491 during the 2021 Regular Session of the 112</w:t>
      </w:r>
      <w:r w:rsidR="00FD194A" w:rsidRPr="002E326E">
        <w:rPr>
          <w:vertAlign w:val="superscript"/>
        </w:rPr>
        <w:t>th</w:t>
      </w:r>
      <w:r w:rsidR="00FD194A">
        <w:t xml:space="preserve"> Tennessee General Assembly and </w:t>
      </w:r>
      <w:r w:rsidR="001C694D">
        <w:t xml:space="preserve">it </w:t>
      </w:r>
      <w:r w:rsidR="00FD194A">
        <w:t xml:space="preserve">was signed into law by Governor Bill Lee </w:t>
      </w:r>
      <w:r w:rsidR="00FD194A" w:rsidRPr="002E326E">
        <w:t>on May 24, 2021, which</w:t>
      </w:r>
      <w:r w:rsidR="00FD194A">
        <w:t xml:space="preserve"> addresses</w:t>
      </w:r>
      <w:r w:rsidR="00733005">
        <w:t xml:space="preserve"> the allocation of funds from certain opioid litigation settlements;</w:t>
      </w:r>
    </w:p>
    <w:p w14:paraId="5F9789FB" w14:textId="58FBF382" w:rsidR="00D90D4F" w:rsidRDefault="00D90D4F" w:rsidP="00A11594">
      <w:pPr>
        <w:pStyle w:val="BodyText"/>
        <w:jc w:val="both"/>
      </w:pPr>
      <w:r>
        <w:t xml:space="preserve">WHEREAS, </w:t>
      </w:r>
      <w:r w:rsidR="002E326E" w:rsidRPr="002E326E">
        <w:t xml:space="preserve">the Tennessee legislature enacted Public Chapter No. </w:t>
      </w:r>
      <w:r w:rsidR="002D6D86">
        <w:t>302</w:t>
      </w:r>
      <w:r w:rsidR="002E326E" w:rsidRPr="002E326E">
        <w:t xml:space="preserve"> during the 202</w:t>
      </w:r>
      <w:r w:rsidR="002D6D86">
        <w:t>5</w:t>
      </w:r>
      <w:r w:rsidR="002E326E" w:rsidRPr="002E326E">
        <w:t xml:space="preserve"> Regular Session of </w:t>
      </w:r>
      <w:r w:rsidR="002E326E" w:rsidRPr="002B5245">
        <w:t xml:space="preserve">the </w:t>
      </w:r>
      <w:r w:rsidR="002E326E" w:rsidRPr="006F66E4">
        <w:t>11</w:t>
      </w:r>
      <w:r w:rsidR="002D6D86">
        <w:t>4</w:t>
      </w:r>
      <w:r w:rsidR="002E326E" w:rsidRPr="006F66E4">
        <w:rPr>
          <w:vertAlign w:val="superscript"/>
        </w:rPr>
        <w:t>th</w:t>
      </w:r>
      <w:r w:rsidR="002E326E" w:rsidRPr="002B5245">
        <w:t xml:space="preserve"> Tennessee</w:t>
      </w:r>
      <w:r w:rsidR="002E326E">
        <w:t xml:space="preserve"> General Assembly and </w:t>
      </w:r>
      <w:r w:rsidR="002D6D86">
        <w:t xml:space="preserve">it </w:t>
      </w:r>
      <w:r w:rsidR="002E326E">
        <w:t xml:space="preserve">was signed into law by Governor Bill Lee </w:t>
      </w:r>
      <w:r w:rsidR="002E326E" w:rsidRPr="002E326E">
        <w:t xml:space="preserve">on </w:t>
      </w:r>
      <w:r w:rsidR="002D6D86">
        <w:t>May 2</w:t>
      </w:r>
      <w:r w:rsidR="002E326E" w:rsidRPr="002E326E">
        <w:t>, 202</w:t>
      </w:r>
      <w:r w:rsidR="002D6D86">
        <w:t>5</w:t>
      </w:r>
      <w:r w:rsidR="002E326E" w:rsidRPr="002E326E">
        <w:t>, which</w:t>
      </w:r>
      <w:r w:rsidR="002E326E">
        <w:t xml:space="preserve"> </w:t>
      </w:r>
      <w:r>
        <w:t xml:space="preserve">would apply the statutory provisions passed in 2021 to the </w:t>
      </w:r>
      <w:r w:rsidR="002D6D86">
        <w:t xml:space="preserve">Purdue Settlement and </w:t>
      </w:r>
      <w:r>
        <w:t>settlement</w:t>
      </w:r>
      <w:r w:rsidR="002D6D86">
        <w:t>s with several additional manufacturers</w:t>
      </w:r>
      <w:r w:rsidR="006F66E4">
        <w:t xml:space="preserve">, if </w:t>
      </w:r>
      <w:r w:rsidR="002D6D86">
        <w:t>the agreements</w:t>
      </w:r>
      <w:r w:rsidR="006F66E4">
        <w:t xml:space="preserve"> becomes effective</w:t>
      </w:r>
      <w:r>
        <w:t xml:space="preserve">; </w:t>
      </w:r>
    </w:p>
    <w:p w14:paraId="70F9B46A" w14:textId="1BBF8B72" w:rsidR="006B6A56" w:rsidRDefault="00C9322F" w:rsidP="00A11594">
      <w:pPr>
        <w:pStyle w:val="BodyText"/>
        <w:jc w:val="both"/>
      </w:pPr>
      <w:r>
        <w:t xml:space="preserve">WHEREAS, the State of </w:t>
      </w:r>
      <w:r w:rsidR="00260D32">
        <w:t xml:space="preserve">Tennessee, non-litigating counties, </w:t>
      </w:r>
      <w:r>
        <w:t xml:space="preserve">and </w:t>
      </w:r>
      <w:r w:rsidR="00260D32">
        <w:t xml:space="preserve">representatives of </w:t>
      </w:r>
      <w:r>
        <w:t xml:space="preserve">various local governments involved in the Opioid Litigation have </w:t>
      </w:r>
      <w:r w:rsidR="00D90D4F">
        <w:t xml:space="preserve">adopted </w:t>
      </w:r>
      <w:r>
        <w:t xml:space="preserve">a unified plan for the allocation and use of </w:t>
      </w:r>
      <w:r w:rsidR="00260D32">
        <w:t>certain prospective settlement</w:t>
      </w:r>
      <w:r w:rsidR="009A4187">
        <w:t xml:space="preserve"> and bankruptcy</w:t>
      </w:r>
      <w:r w:rsidR="00260D32">
        <w:t xml:space="preserve"> funds</w:t>
      </w:r>
      <w:r>
        <w:t xml:space="preserve"> from </w:t>
      </w:r>
      <w:r w:rsidR="006F66E4">
        <w:t>opioid-</w:t>
      </w:r>
      <w:r>
        <w:t>related litigation</w:t>
      </w:r>
      <w:r w:rsidR="009A4187">
        <w:t xml:space="preserve"> (“Settlement Funds”)</w:t>
      </w:r>
      <w:r>
        <w:t>;</w:t>
      </w:r>
    </w:p>
    <w:p w14:paraId="368B4A75" w14:textId="45808D95" w:rsidR="00C9322F" w:rsidRDefault="00237217" w:rsidP="00A11594">
      <w:pPr>
        <w:pStyle w:val="BodyText"/>
        <w:jc w:val="both"/>
      </w:pPr>
      <w:r>
        <w:t xml:space="preserve">WHEREAS, the </w:t>
      </w:r>
      <w:r w:rsidR="00FD194A" w:rsidRPr="00FD194A">
        <w:t xml:space="preserve">Tennessee State-Subdivision Opioid Abatement Agreement </w:t>
      </w:r>
      <w:r>
        <w:t>(the “</w:t>
      </w:r>
      <w:r w:rsidR="00260D32">
        <w:t>Tennessee</w:t>
      </w:r>
      <w:r>
        <w:t xml:space="preserve"> Plan”), attached hereto as “Exhibit A,” sets forth </w:t>
      </w:r>
      <w:r w:rsidR="00D90D4F">
        <w:t xml:space="preserve">the </w:t>
      </w:r>
      <w:r>
        <w:t xml:space="preserve">framework of a unified plan for the proposed allocation and use of </w:t>
      </w:r>
      <w:r w:rsidR="009A4187">
        <w:t>the Settlement Funds</w:t>
      </w:r>
      <w:r>
        <w:t>;</w:t>
      </w:r>
      <w:r w:rsidR="00B46F16">
        <w:t xml:space="preserve"> </w:t>
      </w:r>
    </w:p>
    <w:p w14:paraId="23735ED8" w14:textId="0DCBCBF6" w:rsidR="00D90D4F" w:rsidRDefault="00D90D4F" w:rsidP="00A11594">
      <w:pPr>
        <w:pStyle w:val="BodyText"/>
        <w:jc w:val="both"/>
      </w:pPr>
      <w:r>
        <w:t xml:space="preserve">WHEREAS, amendments to the Tennessee Plan, attached hereto as “Exhibit B,” would extend its terms to the proposed </w:t>
      </w:r>
      <w:r w:rsidR="002D6D86">
        <w:t>Purdue Settlement and Eight Manufacturer Settlements</w:t>
      </w:r>
      <w:r w:rsidR="002B5245">
        <w:t xml:space="preserve"> and </w:t>
      </w:r>
      <w:r w:rsidR="004331D9">
        <w:t xml:space="preserve">would clarify some language concerning </w:t>
      </w:r>
      <w:r w:rsidR="00286084">
        <w:t xml:space="preserve">the allocation of certain </w:t>
      </w:r>
      <w:r w:rsidR="002B5245">
        <w:t xml:space="preserve">settlement </w:t>
      </w:r>
      <w:r w:rsidR="00286084">
        <w:t>funds</w:t>
      </w:r>
      <w:r w:rsidR="002D6D86">
        <w:t xml:space="preserve"> and Purdue estate distributions</w:t>
      </w:r>
      <w:r w:rsidR="00286084">
        <w:t>; and</w:t>
      </w:r>
    </w:p>
    <w:p w14:paraId="18B43F66" w14:textId="4B679138" w:rsidR="00237217" w:rsidRDefault="00485EEE" w:rsidP="00A11594">
      <w:pPr>
        <w:pStyle w:val="BodyText"/>
        <w:jc w:val="both"/>
      </w:pPr>
      <w:r>
        <w:t>WHEREAS, participation in the</w:t>
      </w:r>
      <w:r w:rsidR="00B62112">
        <w:t>se</w:t>
      </w:r>
      <w:r>
        <w:t xml:space="preserve"> </w:t>
      </w:r>
      <w:r w:rsidR="009A4187">
        <w:t>settlement</w:t>
      </w:r>
      <w:r w:rsidR="00B62112">
        <w:t>s</w:t>
      </w:r>
      <w:r w:rsidR="009A4187">
        <w:t xml:space="preserve"> </w:t>
      </w:r>
      <w:r>
        <w:t xml:space="preserve">by a large majority of </w:t>
      </w:r>
      <w:r w:rsidR="00260D32">
        <w:t>Tennessee</w:t>
      </w:r>
      <w:r>
        <w:t xml:space="preserve"> cities and counties will materially increase the amount of settlement funds that </w:t>
      </w:r>
      <w:r w:rsidR="00260D32">
        <w:t>Tennessee</w:t>
      </w:r>
      <w:r>
        <w:t xml:space="preserve"> will receive</w:t>
      </w:r>
      <w:r w:rsidR="00260D32">
        <w:t xml:space="preserve"> from </w:t>
      </w:r>
      <w:r w:rsidR="005F38E9">
        <w:t xml:space="preserve">the </w:t>
      </w:r>
      <w:r w:rsidR="00260D32">
        <w:t>pending proposed opioid settlement</w:t>
      </w:r>
      <w:r w:rsidR="00B62112">
        <w:t>s</w:t>
      </w:r>
      <w:r>
        <w:t>;</w:t>
      </w:r>
    </w:p>
    <w:p w14:paraId="55F0FE2D" w14:textId="77777777" w:rsidR="00C9322F" w:rsidRDefault="00892B26" w:rsidP="00A11594">
      <w:pPr>
        <w:pStyle w:val="BodyText"/>
        <w:jc w:val="both"/>
      </w:pPr>
      <w:r>
        <w:lastRenderedPageBreak/>
        <w:t xml:space="preserve">NOW, THEREFORE, BE IT RESOLVED BY THE </w:t>
      </w:r>
      <w:r w:rsidR="00260D32">
        <w:t>COUNTY COMMISSION</w:t>
      </w:r>
      <w:r>
        <w:t xml:space="preserve"> OF </w:t>
      </w:r>
      <w:r w:rsidR="00260D32">
        <w:t>______</w:t>
      </w:r>
      <w:r>
        <w:t xml:space="preserve"> COUNTY, </w:t>
      </w:r>
      <w:r w:rsidR="00260D32">
        <w:t>TENNESSEE</w:t>
      </w:r>
      <w:r>
        <w:t>,</w:t>
      </w:r>
    </w:p>
    <w:p w14:paraId="1953E130" w14:textId="68D75F8A" w:rsidR="00892B26" w:rsidRDefault="00D84EB9" w:rsidP="00A11594">
      <w:pPr>
        <w:pStyle w:val="BodyText"/>
        <w:jc w:val="both"/>
      </w:pPr>
      <w:r>
        <w:t>Section 1.</w:t>
      </w:r>
      <w:r>
        <w:tab/>
        <w:t xml:space="preserve">That </w:t>
      </w:r>
      <w:r w:rsidR="004951CE">
        <w:t>________</w:t>
      </w:r>
      <w:r>
        <w:t xml:space="preserve"> County finds that</w:t>
      </w:r>
      <w:r w:rsidR="00286084">
        <w:t xml:space="preserve"> the amendments to</w:t>
      </w:r>
      <w:r>
        <w:t xml:space="preserve"> the </w:t>
      </w:r>
      <w:r w:rsidR="004951CE">
        <w:t>Tennessee</w:t>
      </w:r>
      <w:r>
        <w:t xml:space="preserve"> Plan </w:t>
      </w:r>
      <w:r w:rsidR="0064355F">
        <w:t>are</w:t>
      </w:r>
      <w:r>
        <w:t xml:space="preserve"> in the best interest of </w:t>
      </w:r>
      <w:r w:rsidR="004951CE">
        <w:t>________</w:t>
      </w:r>
      <w:r>
        <w:t xml:space="preserve"> County and its citizens because </w:t>
      </w:r>
      <w:r w:rsidR="00286084">
        <w:t>they</w:t>
      </w:r>
      <w:r>
        <w:t xml:space="preserve"> would ensure </w:t>
      </w:r>
      <w:r w:rsidR="0025302A">
        <w:t xml:space="preserve">an effective structure for </w:t>
      </w:r>
      <w:r w:rsidR="002617F8">
        <w:t xml:space="preserve">the commitment of </w:t>
      </w:r>
      <w:r w:rsidR="00064D54">
        <w:t>Settlement F</w:t>
      </w:r>
      <w:r>
        <w:t>unds to abate and seek</w:t>
      </w:r>
      <w:r w:rsidR="004951CE">
        <w:t xml:space="preserve"> to resolve the opioid epidemic.</w:t>
      </w:r>
    </w:p>
    <w:p w14:paraId="41F2A3F0" w14:textId="1FA3039B" w:rsidR="00D84EB9" w:rsidRDefault="00490F0F" w:rsidP="00A11594">
      <w:pPr>
        <w:pStyle w:val="BodyText"/>
        <w:jc w:val="both"/>
      </w:pPr>
      <w:r>
        <w:t>Section 2.</w:t>
      </w:r>
      <w:r>
        <w:tab/>
        <w:t xml:space="preserve">That </w:t>
      </w:r>
      <w:r w:rsidR="004951CE">
        <w:t>_________</w:t>
      </w:r>
      <w:r>
        <w:t xml:space="preserve"> County hereby expresses its support for a unified plan for the allocation and use of </w:t>
      </w:r>
      <w:r w:rsidR="00064D54">
        <w:t>Settlement Funds</w:t>
      </w:r>
      <w:r>
        <w:t xml:space="preserve"> as generally described in the </w:t>
      </w:r>
      <w:r w:rsidR="004951CE">
        <w:t>Tennessee</w:t>
      </w:r>
      <w:r>
        <w:t xml:space="preserve"> Plan.</w:t>
      </w:r>
    </w:p>
    <w:p w14:paraId="3FE29AA6" w14:textId="178D15AD" w:rsidR="00886AA1" w:rsidRDefault="00886AA1" w:rsidP="00A11594">
      <w:pPr>
        <w:pStyle w:val="BodyText"/>
        <w:jc w:val="both"/>
      </w:pPr>
      <w:r>
        <w:t>Section 3.</w:t>
      </w:r>
      <w:r>
        <w:tab/>
        <w:t xml:space="preserve">That </w:t>
      </w:r>
      <w:r w:rsidR="004951CE">
        <w:t xml:space="preserve">the </w:t>
      </w:r>
      <w:r w:rsidR="00CF6F2D">
        <w:t xml:space="preserve">________ </w:t>
      </w:r>
      <w:r w:rsidR="004951CE">
        <w:t>County</w:t>
      </w:r>
      <w:r>
        <w:t xml:space="preserve"> Mayor is hereby expressly authorized to execute the </w:t>
      </w:r>
      <w:r w:rsidR="00286084">
        <w:t xml:space="preserve">amendments to the </w:t>
      </w:r>
      <w:r w:rsidR="004951CE">
        <w:t>Tennessee</w:t>
      </w:r>
      <w:r>
        <w:t xml:space="preserve"> Plan in substantially the form attached as Exhibit “</w:t>
      </w:r>
      <w:r w:rsidR="00286084">
        <w:t>B</w:t>
      </w:r>
      <w:r>
        <w:t>”</w:t>
      </w:r>
      <w:r w:rsidR="00257A5A" w:rsidRPr="00257A5A">
        <w:t xml:space="preserve"> </w:t>
      </w:r>
      <w:r w:rsidR="00257A5A">
        <w:t xml:space="preserve">and the County Mayor is hereby authorized to execute any formal agreements necessary to implement a unified plan for the allocation and use of </w:t>
      </w:r>
      <w:r w:rsidR="00064D54">
        <w:t>Settlement Funds</w:t>
      </w:r>
      <w:r w:rsidR="009E5591">
        <w:t xml:space="preserve"> </w:t>
      </w:r>
      <w:r w:rsidR="00257A5A">
        <w:t>that is substantially consistent with the Tennessee Plan and this Resolution.</w:t>
      </w:r>
    </w:p>
    <w:p w14:paraId="738717B7" w14:textId="354C1789" w:rsidR="00064D54" w:rsidRDefault="00064D54" w:rsidP="00A11594">
      <w:pPr>
        <w:pStyle w:val="BodyText"/>
        <w:jc w:val="both"/>
      </w:pPr>
      <w:r>
        <w:t>Section 4.</w:t>
      </w:r>
      <w:r>
        <w:tab/>
        <w:t>That the _________</w:t>
      </w:r>
      <w:r w:rsidR="0089501D">
        <w:t xml:space="preserve"> </w:t>
      </w:r>
      <w:r>
        <w:t xml:space="preserve">County Mayor is hereby </w:t>
      </w:r>
      <w:r w:rsidR="002617F8">
        <w:t xml:space="preserve">expressly </w:t>
      </w:r>
      <w:r>
        <w:t>authorized to execute any formal agreement and related documents evidencing __________</w:t>
      </w:r>
      <w:r w:rsidR="001D1BB4">
        <w:t xml:space="preserve"> County’s agreement to the settlement of </w:t>
      </w:r>
      <w:r w:rsidR="001D1BB4" w:rsidRPr="002B5245">
        <w:t>claims [and litigation] specifically</w:t>
      </w:r>
      <w:r w:rsidR="001D1BB4">
        <w:t xml:space="preserve"> related to </w:t>
      </w:r>
      <w:r w:rsidR="00B62112">
        <w:t>the Purdue Settlement, the Eight Manufacturer Settlements</w:t>
      </w:r>
      <w:r w:rsidR="002F0FAB">
        <w:t xml:space="preserve"> and </w:t>
      </w:r>
      <w:r w:rsidR="00EC4362">
        <w:t>any other settlement of opioid-related claims that Tennessee has joined</w:t>
      </w:r>
      <w:r w:rsidR="001D1BB4">
        <w:t>.</w:t>
      </w:r>
    </w:p>
    <w:p w14:paraId="671AB264" w14:textId="43B3ACBE" w:rsidR="002617F8" w:rsidRDefault="002617F8" w:rsidP="00A11594">
      <w:pPr>
        <w:pStyle w:val="BodyText"/>
        <w:jc w:val="both"/>
      </w:pPr>
      <w:r>
        <w:t xml:space="preserve">Section 5. </w:t>
      </w:r>
      <w:r>
        <w:tab/>
        <w:t xml:space="preserve">That the ___________ County Mayor is authorized to take such other action as necessary and appropriate to effectuate ___________ County’s participation in the Tennessee Plan and </w:t>
      </w:r>
      <w:r w:rsidR="00FB1191">
        <w:t>th</w:t>
      </w:r>
      <w:r w:rsidR="00B62112">
        <w:t>ese</w:t>
      </w:r>
      <w:r w:rsidR="00FB1191">
        <w:t xml:space="preserve"> </w:t>
      </w:r>
      <w:r>
        <w:t>settlement</w:t>
      </w:r>
      <w:r w:rsidR="00B62112">
        <w:t>s</w:t>
      </w:r>
      <w:r>
        <w:t>.</w:t>
      </w:r>
    </w:p>
    <w:p w14:paraId="7353AAA4" w14:textId="7A0FED3F" w:rsidR="005E5E57" w:rsidRDefault="00886AA1" w:rsidP="00A11594">
      <w:pPr>
        <w:pStyle w:val="BodyText"/>
        <w:jc w:val="both"/>
      </w:pPr>
      <w:r>
        <w:t xml:space="preserve">Section </w:t>
      </w:r>
      <w:r w:rsidR="002617F8">
        <w:t>6</w:t>
      </w:r>
      <w:r>
        <w:t>.</w:t>
      </w:r>
      <w:r>
        <w:tab/>
      </w:r>
      <w:r w:rsidR="005E5E57" w:rsidRPr="005E5E57">
        <w:t>This Resolution is effective upon adoption</w:t>
      </w:r>
      <w:r w:rsidR="0091612D">
        <w:t>, the welfare of ____ County</w:t>
      </w:r>
      <w:r w:rsidR="00257A5A">
        <w:t>, Tennessee</w:t>
      </w:r>
      <w:r w:rsidR="0091612D">
        <w:t xml:space="preserve"> requiring it</w:t>
      </w:r>
      <w:r w:rsidR="005E5E57" w:rsidRPr="005E5E57">
        <w:t>.</w:t>
      </w:r>
    </w:p>
    <w:p w14:paraId="6BC65BB3" w14:textId="3B9BFAC7" w:rsidR="006F1BB6" w:rsidRDefault="006F1BB6" w:rsidP="00A11594">
      <w:pPr>
        <w:pStyle w:val="BodyText"/>
        <w:jc w:val="both"/>
      </w:pPr>
      <w:r w:rsidRPr="006F1BB6">
        <w:t>ADOPTED this</w:t>
      </w:r>
      <w:r w:rsidR="0091612D">
        <w:t xml:space="preserve"> the</w:t>
      </w:r>
      <w:r w:rsidR="00F3038D">
        <w:t xml:space="preserve">                    </w:t>
      </w:r>
      <w:r w:rsidRPr="006F1BB6">
        <w:t>day of</w:t>
      </w:r>
      <w:r w:rsidR="00F3038D">
        <w:t xml:space="preserve">                    </w:t>
      </w:r>
      <w:r w:rsidRPr="006F1BB6">
        <w:t>, 202</w:t>
      </w:r>
      <w:r w:rsidR="00B62112">
        <w:t>5</w:t>
      </w:r>
      <w:r w:rsidRPr="006F1BB6">
        <w:t xml:space="preserve">. </w:t>
      </w:r>
    </w:p>
    <w:p w14:paraId="33B8C143" w14:textId="77777777" w:rsidR="0091612D" w:rsidRDefault="0091612D" w:rsidP="006F1BB6">
      <w:pPr>
        <w:pStyle w:val="BodyText"/>
        <w:jc w:val="both"/>
      </w:pPr>
    </w:p>
    <w:p w14:paraId="51DAFC15" w14:textId="77777777" w:rsidR="0091612D" w:rsidRDefault="0091612D" w:rsidP="006F1BB6">
      <w:pPr>
        <w:pStyle w:val="BodyText"/>
        <w:jc w:val="both"/>
      </w:pPr>
    </w:p>
    <w:p w14:paraId="59059C2D" w14:textId="77777777" w:rsidR="006F1BB6" w:rsidRPr="006F1BB6" w:rsidRDefault="006F1BB6" w:rsidP="006F1BB6">
      <w:pPr>
        <w:pStyle w:val="BodyText"/>
        <w:jc w:val="both"/>
        <w:rPr>
          <w:u w:val="single"/>
        </w:rPr>
      </w:pPr>
      <w:r w:rsidRPr="006F1BB6">
        <w:t xml:space="preserve">ATTEST: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1BB6" w:rsidRPr="006F1BB6" w:rsidSect="00C553C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2827" w14:textId="77777777" w:rsidR="00FF511B" w:rsidRDefault="00FF511B" w:rsidP="00C553CC">
      <w:r>
        <w:separator/>
      </w:r>
    </w:p>
  </w:endnote>
  <w:endnote w:type="continuationSeparator" w:id="0">
    <w:p w14:paraId="3D2D8C89" w14:textId="77777777" w:rsidR="00FF511B" w:rsidRDefault="00FF511B" w:rsidP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19FE" w14:textId="63640351" w:rsidR="007D3711" w:rsidRPr="00CF6F2D" w:rsidRDefault="000D62EA" w:rsidP="00CF6F2D">
    <w:pPr>
      <w:pStyle w:val="Footer"/>
      <w:tabs>
        <w:tab w:val="clear" w:pos="4320"/>
        <w:tab w:val="center" w:pos="4680"/>
      </w:tabs>
    </w:pPr>
    <w:r w:rsidRPr="000D62EA">
      <w:rPr>
        <w:noProof/>
        <w:sz w:val="12"/>
      </w:rPr>
      <w:t>{N0433784.1}</w:t>
    </w:r>
    <w:r w:rsidR="00C553CC" w:rsidRPr="00CF6F2D">
      <w:tab/>
      <w:t>-</w:t>
    </w:r>
    <w:r w:rsidR="00C553CC" w:rsidRPr="00CF6F2D">
      <w:fldChar w:fldCharType="begin"/>
    </w:r>
    <w:r w:rsidR="00C553CC" w:rsidRPr="00CF6F2D">
      <w:instrText xml:space="preserve"> PAGE \* MERGEFORMAT </w:instrText>
    </w:r>
    <w:r w:rsidR="00C553CC" w:rsidRPr="00CF6F2D">
      <w:fldChar w:fldCharType="separate"/>
    </w:r>
    <w:r w:rsidR="00B53022">
      <w:rPr>
        <w:noProof/>
      </w:rPr>
      <w:t>2</w:t>
    </w:r>
    <w:r w:rsidR="00C553CC" w:rsidRPr="00CF6F2D">
      <w:fldChar w:fldCharType="end"/>
    </w:r>
    <w:r w:rsidR="00C553CC" w:rsidRPr="00CF6F2D">
      <w:t>-</w:t>
    </w:r>
    <w:r w:rsidR="00C553CC" w:rsidRPr="00CF6F2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03AF" w14:textId="2DC28580" w:rsidR="00FD194A" w:rsidRPr="00CF6F2D" w:rsidRDefault="00CF6F2D" w:rsidP="00CF6F2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82CD" w14:textId="77777777" w:rsidR="00FF511B" w:rsidRDefault="00FF511B" w:rsidP="00C553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6F58B62" w14:textId="77777777" w:rsidR="00FF511B" w:rsidRDefault="00FF511B" w:rsidP="00C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4BB5" w14:textId="77777777" w:rsidR="007D3711" w:rsidRDefault="00555C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609"/>
    <w:multiLevelType w:val="multilevel"/>
    <w:tmpl w:val="BAF4BFF8"/>
    <w:name w:val="zzmpLCPldBlank||LCPldBlank|2|1|1|0|0|37||1|0|37||1|0|37||1|0|37||1|0|37||1|0|32||1|0|32||1|0|32||1|0|32||"/>
    <w:lvl w:ilvl="0">
      <w:start w:val="1"/>
      <w:numFmt w:val="none"/>
      <w:pStyle w:val="LCPldBlankL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pStyle w:val="LCPldBlank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pStyle w:val="LCPldBlank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LCPldBlank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pStyle w:val="LCPldBlank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pStyle w:val="LCPldBlankL6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LCPldBlankL7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LCPldBlankL8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pStyle w:val="LCPldBlankL9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" w15:restartNumberingAfterBreak="0">
    <w:nsid w:val="58C725B7"/>
    <w:multiLevelType w:val="multilevel"/>
    <w:tmpl w:val="D96CC326"/>
    <w:lvl w:ilvl="0">
      <w:start w:val="1"/>
      <w:numFmt w:val="none"/>
      <w:suff w:val="nothing"/>
      <w:lvlText w:val="  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lvlRestart w:val="0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662247036">
    <w:abstractNumId w:val="1"/>
  </w:num>
  <w:num w:numId="2" w16cid:durableId="1953854976">
    <w:abstractNumId w:val="0"/>
  </w:num>
  <w:num w:numId="3" w16cid:durableId="885918147">
    <w:abstractNumId w:val="0"/>
  </w:num>
  <w:num w:numId="4" w16cid:durableId="519779234">
    <w:abstractNumId w:val="0"/>
  </w:num>
  <w:num w:numId="5" w16cid:durableId="1200585148">
    <w:abstractNumId w:val="0"/>
  </w:num>
  <w:num w:numId="6" w16cid:durableId="313533257">
    <w:abstractNumId w:val="0"/>
  </w:num>
  <w:num w:numId="7" w16cid:durableId="684983013">
    <w:abstractNumId w:val="0"/>
  </w:num>
  <w:num w:numId="8" w16cid:durableId="997876927">
    <w:abstractNumId w:val="0"/>
  </w:num>
  <w:num w:numId="9" w16cid:durableId="1714504971">
    <w:abstractNumId w:val="0"/>
  </w:num>
  <w:num w:numId="10" w16cid:durableId="930360121">
    <w:abstractNumId w:val="0"/>
  </w:num>
  <w:num w:numId="11" w16cid:durableId="834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bpfile" w:val="PleadingNYUSDistrict.mbp"/>
    <w:docVar w:name="CITRUS_DOC_GUID" w:val="{A07D482C-1B69-488C-9587-F3189C039B8A}"/>
    <w:docVar w:name="Pleading_1_Author" w:val="64734"/>
    <w:docVar w:name="Pleading_1_CertificateDate" w:val="October __, 2021"/>
    <w:docVar w:name="Pleading_1_CertificatePartyTitle" w:val="Plaintiff"/>
    <w:docVar w:name="Pleading_1_CertificateSigner" w:val="Patrick I. Andrews"/>
    <w:docVar w:name="Pleading_1_CourtTitle" w:val="United States District Court|vbcr|_x000a_Southern District of New York"/>
    <w:docVar w:name="Pleading_1_Level0" w:val="34"/>
    <w:docVar w:name="Pleading_1_Level0String" w:val="New York"/>
    <w:docVar w:name="Pleading_1_Level1" w:val="8"/>
    <w:docVar w:name="Pleading_1_Level1String" w:val="U.S. District"/>
    <w:docVar w:name="Pleading_1_Level2" w:val="848"/>
    <w:docVar w:name="Pleading_1_Level2String" w:val="Southern"/>
    <w:docVar w:name="PleadingCaption_1_CourtTitle" w:val="United States District Court|vbcr|_x000a_Southern District of New York"/>
    <w:docVar w:name="PleadingCaption_1_DisplayName" w:val="New York U.S. District Court - Plaintiff"/>
    <w:docVar w:name="PleadingCaption_1_FirmAddress" w:val="250 Hudson Street, 8th Floor_x000a_New York, NY  10013-1413"/>
    <w:docVar w:name="PleadingCaption_1_FirmFax" w:val="212.355.9592"/>
    <w:docVar w:name="PleadingCaption_1_FirmName" w:val="Lieff Cabraser Heimann &amp; Bernstein, LLP"/>
    <w:docVar w:name="PleadingCaption_1_FirmPhone" w:val="212.355.9500"/>
    <w:docVar w:name="PleadingCaption_1_ID" w:val="1"/>
    <w:docVar w:name="PleadingCaption_1_Party1Title" w:val="Plaintiff"/>
    <w:docVar w:name="PleadingCaption_1_Party2Title" w:val="Defendant"/>
    <w:docVar w:name="PleadingCaption_1_Position" w:val="1"/>
    <w:docVar w:name="PleadingCaption_1_Signer" w:val="Patrick I. Andrews (5503628)"/>
    <w:docVar w:name="PleadingCaption_1_SignerEMail" w:val="pandrews@lchb.com"/>
    <w:docVar w:name="PleadingCaption_1_TypeID" w:val="34"/>
    <w:docVar w:name="PleadingPaper_1_PleadingPaperCaseNumberSeparator" w:val="||"/>
    <w:docVar w:name="PleadingPaper_1_PleadingPaperDef" w:val="8"/>
    <w:docVar w:name="PleadingPaper_1_PleadingPaperOfficeID" w:val="2"/>
    <w:docVar w:name="PleadingPaper_1_PleadingPaperOfficeLocation" w:val="New York"/>
    <w:docVar w:name="PleadingPaper_1_PleadingPaperSideBarType" w:val="0"/>
    <w:docVar w:name="PleadingSig_1_AllSigners" w:val="Patrick I. Andrews (5503628)"/>
    <w:docVar w:name="PleadingSig_1_Dated" w:val="October __, 2021"/>
    <w:docVar w:name="PleadingSig_1_DisplayName" w:val="Patrick I. Andrews"/>
    <w:docVar w:name="PleadingSig_1_ESigner" w:val="Patrick I. Andrews"/>
    <w:docVar w:name="PleadingSig_1_FirmAddress" w:val="250 Hudson Street, 8th Floor|vbcr|_x000a_New York, NY  10013-1413"/>
    <w:docVar w:name="PleadingSig_1_FirmCity" w:val="New York"/>
    <w:docVar w:name="PleadingSig_1_FirmFax" w:val="212.355.9592"/>
    <w:docVar w:name="PleadingSig_1_FirmID" w:val="^^-1"/>
    <w:docVar w:name="PleadingSig_1_FirmName" w:val="Lieff Cabraser Heimann &amp; Bernstein, LLP"/>
    <w:docVar w:name="PleadingSig_1_FirmNameESig" w:val="Lieff Cabraser Heimann &amp; Bernstein, LLP"/>
    <w:docVar w:name="PleadingSig_1_FirmPhone" w:val="212.355.9500"/>
    <w:docVar w:name="PleadingSig_1_FirmState" w:val="New York"/>
    <w:docVar w:name="PleadingSig_1_ID" w:val="1"/>
    <w:docVar w:name="PleadingSig_1_InputSigner" w:val="Patrick I. Andrews (5503628)"/>
    <w:docVar w:name="PleadingSig_1_Office" w:val="2"/>
    <w:docVar w:name="PleadingSig_1_OneOfSignerText" w:val="By Her Attorneys"/>
    <w:docVar w:name="PleadingSig_1_PartyName" w:val="^^-1"/>
    <w:docVar w:name="PleadingSig_1_PartyTitle" w:val="Plaintiff^^-1"/>
    <w:docVar w:name="PleadingSig_1_Position" w:val="2"/>
    <w:docVar w:name="PleadingSig_1_Signer" w:val="Patrick I. Andrews (5503628)"/>
    <w:docVar w:name="PleadingSig_1_Signer2" w:val="Patrick I. Andrews (5503628)"/>
    <w:docVar w:name="PleadingSig_1_SignerEMail" w:val="pandrews@lchb.com"/>
    <w:docVar w:name="PleadingSig_1_Signers" w:val="0|-1|Patrick I. Andrews|64734|5503628|pandrews@lchb.com"/>
    <w:docVar w:name="PleadingSig_1_TypeID" w:val="7"/>
    <w:docVar w:name="ReUseAuthor" w:val="64734|Andrews, Patrick I.|pandrews@lchb.com||Patrick|Patrick I. Andrews||PIA|98962\State Bar of New Jersey\315562020\False\98974\New York Appellate Division, 2nd Dept.\5503628\False\98975\New York Western District\5503628\False\98976\New York Northern District\700682\False\98977\New York Southern District\5503628\False\98978\New York Registration Number\5503628\True|True|Andrews|I.|2|6612|Attorney at Law|zzmpAdmittedIn??|IsNamePartner??False|Prefix??|Suffix??"/>
    <w:docVar w:name="zzmpFixed_MacPacVersion" w:val="9.0"/>
    <w:docVar w:name="zzmpFixedCurScheme" w:val="LCPldBlank"/>
    <w:docVar w:name="zzmpFixedCurScheme_9.0" w:val="1zzmpLCPldBlank"/>
    <w:docVar w:name="zzmpLCPldBlank" w:val="||LCPldBlank|2|1|1|0|0|37||1|0|37||1|0|37||1|0|37||1|0|37||1|0|32||1|0|32||1|0|32||1|0|32||"/>
    <w:docVar w:name="zzmpLTFontsClean" w:val="True"/>
    <w:docVar w:name="zzmpnSession" w:val="0.6600611"/>
  </w:docVars>
  <w:rsids>
    <w:rsidRoot w:val="00C553CC"/>
    <w:rsid w:val="000047E7"/>
    <w:rsid w:val="00014F19"/>
    <w:rsid w:val="00064D54"/>
    <w:rsid w:val="00075A42"/>
    <w:rsid w:val="00076FC2"/>
    <w:rsid w:val="000D62EA"/>
    <w:rsid w:val="001874FB"/>
    <w:rsid w:val="00191EBC"/>
    <w:rsid w:val="001C3E48"/>
    <w:rsid w:val="001C4C8F"/>
    <w:rsid w:val="001C694D"/>
    <w:rsid w:val="001D1BB4"/>
    <w:rsid w:val="001F4C58"/>
    <w:rsid w:val="00202B28"/>
    <w:rsid w:val="00214D2E"/>
    <w:rsid w:val="002320E7"/>
    <w:rsid w:val="00237217"/>
    <w:rsid w:val="0025302A"/>
    <w:rsid w:val="00257A5A"/>
    <w:rsid w:val="00260D32"/>
    <w:rsid w:val="002617F8"/>
    <w:rsid w:val="00286084"/>
    <w:rsid w:val="00296B05"/>
    <w:rsid w:val="002B5245"/>
    <w:rsid w:val="002D6D86"/>
    <w:rsid w:val="002E326E"/>
    <w:rsid w:val="002F0FAB"/>
    <w:rsid w:val="002F7345"/>
    <w:rsid w:val="0034365F"/>
    <w:rsid w:val="003C53ED"/>
    <w:rsid w:val="0040120E"/>
    <w:rsid w:val="00406CB9"/>
    <w:rsid w:val="00416DBE"/>
    <w:rsid w:val="004331D9"/>
    <w:rsid w:val="0047249C"/>
    <w:rsid w:val="00473E32"/>
    <w:rsid w:val="00485EEE"/>
    <w:rsid w:val="00486CF2"/>
    <w:rsid w:val="00490F0F"/>
    <w:rsid w:val="004951CE"/>
    <w:rsid w:val="004D749D"/>
    <w:rsid w:val="004E179E"/>
    <w:rsid w:val="004E423A"/>
    <w:rsid w:val="00501946"/>
    <w:rsid w:val="00526830"/>
    <w:rsid w:val="00555CB9"/>
    <w:rsid w:val="00560B2B"/>
    <w:rsid w:val="00584E91"/>
    <w:rsid w:val="00596DD3"/>
    <w:rsid w:val="005E5E57"/>
    <w:rsid w:val="005F38E9"/>
    <w:rsid w:val="0064355F"/>
    <w:rsid w:val="00671B76"/>
    <w:rsid w:val="00677F3B"/>
    <w:rsid w:val="006B6A56"/>
    <w:rsid w:val="006E4593"/>
    <w:rsid w:val="006E5E1F"/>
    <w:rsid w:val="006F1BB6"/>
    <w:rsid w:val="006F66E4"/>
    <w:rsid w:val="00733005"/>
    <w:rsid w:val="007B6451"/>
    <w:rsid w:val="007B7780"/>
    <w:rsid w:val="007D3711"/>
    <w:rsid w:val="008015F6"/>
    <w:rsid w:val="00846516"/>
    <w:rsid w:val="00880EE0"/>
    <w:rsid w:val="00886AA1"/>
    <w:rsid w:val="00892B26"/>
    <w:rsid w:val="0089501D"/>
    <w:rsid w:val="008976B4"/>
    <w:rsid w:val="008A6758"/>
    <w:rsid w:val="008B24DD"/>
    <w:rsid w:val="0091612D"/>
    <w:rsid w:val="0092226F"/>
    <w:rsid w:val="00922A75"/>
    <w:rsid w:val="00927852"/>
    <w:rsid w:val="00941CDF"/>
    <w:rsid w:val="009A4187"/>
    <w:rsid w:val="009E5591"/>
    <w:rsid w:val="00A11594"/>
    <w:rsid w:val="00A41FBD"/>
    <w:rsid w:val="00AE20F7"/>
    <w:rsid w:val="00AF24DF"/>
    <w:rsid w:val="00B24C0C"/>
    <w:rsid w:val="00B46F16"/>
    <w:rsid w:val="00B53022"/>
    <w:rsid w:val="00B62112"/>
    <w:rsid w:val="00B76357"/>
    <w:rsid w:val="00B83A3A"/>
    <w:rsid w:val="00BE400D"/>
    <w:rsid w:val="00BF4D12"/>
    <w:rsid w:val="00C02F16"/>
    <w:rsid w:val="00C054F1"/>
    <w:rsid w:val="00C553CC"/>
    <w:rsid w:val="00C73405"/>
    <w:rsid w:val="00C9322F"/>
    <w:rsid w:val="00CF2CE0"/>
    <w:rsid w:val="00CF6F2D"/>
    <w:rsid w:val="00D62B6B"/>
    <w:rsid w:val="00D84EB9"/>
    <w:rsid w:val="00D87BE9"/>
    <w:rsid w:val="00D90D4F"/>
    <w:rsid w:val="00DD0D6D"/>
    <w:rsid w:val="00DD3495"/>
    <w:rsid w:val="00E06BDC"/>
    <w:rsid w:val="00E33357"/>
    <w:rsid w:val="00E73914"/>
    <w:rsid w:val="00EC4362"/>
    <w:rsid w:val="00EE5A06"/>
    <w:rsid w:val="00F3038D"/>
    <w:rsid w:val="00FA4A59"/>
    <w:rsid w:val="00FB1191"/>
    <w:rsid w:val="00FD194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0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3C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C02F16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C553CC"/>
  </w:style>
  <w:style w:type="character" w:customStyle="1" w:styleId="FootnoteTextChar">
    <w:name w:val="Footnote Text Char"/>
    <w:basedOn w:val="DefaultParagraphFont"/>
    <w:link w:val="FootnoteText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F16"/>
    <w:rPr>
      <w:vertAlign w:val="superscript"/>
    </w:rPr>
  </w:style>
  <w:style w:type="paragraph" w:styleId="Footer">
    <w:name w:val="footer"/>
    <w:basedOn w:val="Normal"/>
    <w:link w:val="Foot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F16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F16"/>
    <w:rPr>
      <w:color w:val="0000FF"/>
      <w:u w:val="single"/>
    </w:rPr>
  </w:style>
  <w:style w:type="paragraph" w:customStyle="1" w:styleId="BodyTextContinued">
    <w:name w:val="Body Text Continued"/>
    <w:basedOn w:val="BodyText"/>
    <w:next w:val="BodyText"/>
    <w:rsid w:val="00C553CC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C553C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553CC"/>
    <w:pPr>
      <w:widowControl w:val="0"/>
    </w:pPr>
    <w:rPr>
      <w:bCs/>
    </w:rPr>
  </w:style>
  <w:style w:type="paragraph" w:customStyle="1" w:styleId="Court">
    <w:name w:val="Court"/>
    <w:basedOn w:val="Normal"/>
    <w:rsid w:val="00C553CC"/>
    <w:pPr>
      <w:widowControl w:val="0"/>
      <w:spacing w:before="240" w:after="120"/>
    </w:pPr>
    <w:rPr>
      <w:bCs/>
      <w:caps/>
    </w:rPr>
  </w:style>
  <w:style w:type="paragraph" w:customStyle="1" w:styleId="DocumentTitle">
    <w:name w:val="Document Title"/>
    <w:basedOn w:val="Normal"/>
    <w:rsid w:val="00C553CC"/>
    <w:pPr>
      <w:widowControl w:val="0"/>
      <w:spacing w:before="240" w:after="240"/>
    </w:pPr>
    <w:rPr>
      <w:b/>
      <w:caps/>
      <w:u w:val="single"/>
    </w:rPr>
  </w:style>
  <w:style w:type="paragraph" w:customStyle="1" w:styleId="FirmInformation">
    <w:name w:val="Firm Information"/>
    <w:basedOn w:val="Normal"/>
    <w:rsid w:val="00C553CC"/>
    <w:pPr>
      <w:widowControl w:val="0"/>
      <w:ind w:right="144"/>
    </w:pPr>
  </w:style>
  <w:style w:type="paragraph" w:styleId="Header">
    <w:name w:val="header"/>
    <w:basedOn w:val="Normal"/>
    <w:link w:val="Head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553CC"/>
    <w:rPr>
      <w:sz w:val="24"/>
    </w:rPr>
  </w:style>
  <w:style w:type="paragraph" w:customStyle="1" w:styleId="PleadingSignature">
    <w:name w:val="Pleading Signature"/>
    <w:basedOn w:val="Normal"/>
    <w:rsid w:val="00C553CC"/>
    <w:pPr>
      <w:keepLines/>
      <w:ind w:left="108" w:right="108"/>
    </w:pPr>
  </w:style>
  <w:style w:type="paragraph" w:customStyle="1" w:styleId="LCPldBlankCont1">
    <w:name w:val="LCPldBlank Cont 1"/>
    <w:basedOn w:val="Normal"/>
    <w:link w:val="LCPldBlankCont1Char"/>
    <w:rsid w:val="00C553CC"/>
    <w:pPr>
      <w:spacing w:line="480" w:lineRule="auto"/>
    </w:pPr>
  </w:style>
  <w:style w:type="character" w:customStyle="1" w:styleId="LCPldBlankCont1Char">
    <w:name w:val="LCPldBlank Cont 1 Char"/>
    <w:basedOn w:val="BodyTextChar"/>
    <w:link w:val="LCPldBlankCont1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2">
    <w:name w:val="LCPldBlank Cont 2"/>
    <w:basedOn w:val="LCPldBlankCont1"/>
    <w:link w:val="LCPldBlankCont2Char"/>
    <w:rsid w:val="00C553CC"/>
    <w:pPr>
      <w:widowControl w:val="0"/>
    </w:pPr>
  </w:style>
  <w:style w:type="character" w:customStyle="1" w:styleId="LCPldBlankCont2Char">
    <w:name w:val="LCPldBlank Cont 2 Char"/>
    <w:basedOn w:val="BodyTextChar"/>
    <w:link w:val="LCPldBlankCont2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3">
    <w:name w:val="LCPldBlank Cont 3"/>
    <w:basedOn w:val="LCPldBlankCont2"/>
    <w:link w:val="LCPldBlankCont3Char"/>
    <w:rsid w:val="00C553CC"/>
  </w:style>
  <w:style w:type="character" w:customStyle="1" w:styleId="LCPldBlankCont3Char">
    <w:name w:val="LCPldBlank Cont 3 Char"/>
    <w:basedOn w:val="BodyTextChar"/>
    <w:link w:val="LCPldBlankCont3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4">
    <w:name w:val="LCPldBlank Cont 4"/>
    <w:basedOn w:val="LCPldBlankCont3"/>
    <w:link w:val="LCPldBlankCont4Char"/>
    <w:rsid w:val="00C553CC"/>
  </w:style>
  <w:style w:type="character" w:customStyle="1" w:styleId="LCPldBlankCont4Char">
    <w:name w:val="LCPldBlank Cont 4 Char"/>
    <w:basedOn w:val="BodyTextChar"/>
    <w:link w:val="LCPldBlankCont4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5">
    <w:name w:val="LCPldBlank Cont 5"/>
    <w:basedOn w:val="LCPldBlankCont4"/>
    <w:link w:val="LCPldBlankCont5Char"/>
    <w:rsid w:val="00C553CC"/>
  </w:style>
  <w:style w:type="character" w:customStyle="1" w:styleId="LCPldBlankCont5Char">
    <w:name w:val="LCPldBlank Cont 5 Char"/>
    <w:basedOn w:val="BodyTextChar"/>
    <w:link w:val="LCPldBlankCont5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6">
    <w:name w:val="LCPldBlank Cont 6"/>
    <w:basedOn w:val="LCPldBlankCont5"/>
    <w:link w:val="LCPldBlankCont6Char"/>
    <w:rsid w:val="00C553CC"/>
  </w:style>
  <w:style w:type="character" w:customStyle="1" w:styleId="LCPldBlankCont6Char">
    <w:name w:val="LCPldBlank Cont 6 Char"/>
    <w:basedOn w:val="BodyTextChar"/>
    <w:link w:val="LCPldBlankCont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7">
    <w:name w:val="LCPldBlank Cont 7"/>
    <w:basedOn w:val="LCPldBlankCont6"/>
    <w:link w:val="LCPldBlankCont7Char"/>
    <w:rsid w:val="00C553CC"/>
  </w:style>
  <w:style w:type="character" w:customStyle="1" w:styleId="LCPldBlankCont7Char">
    <w:name w:val="LCPldBlank Cont 7 Char"/>
    <w:basedOn w:val="BodyTextChar"/>
    <w:link w:val="LCPldBlankCont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8">
    <w:name w:val="LCPldBlank Cont 8"/>
    <w:basedOn w:val="LCPldBlankCont7"/>
    <w:link w:val="LCPldBlankCont8Char"/>
    <w:rsid w:val="00C553CC"/>
  </w:style>
  <w:style w:type="character" w:customStyle="1" w:styleId="LCPldBlankCont8Char">
    <w:name w:val="LCPldBlank Cont 8 Char"/>
    <w:basedOn w:val="BodyTextChar"/>
    <w:link w:val="LCPldBlankCont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9">
    <w:name w:val="LCPldBlank Cont 9"/>
    <w:basedOn w:val="LCPldBlankCont8"/>
    <w:link w:val="LCPldBlankCont9Char"/>
    <w:rsid w:val="00C553CC"/>
  </w:style>
  <w:style w:type="character" w:customStyle="1" w:styleId="LCPldBlankCont9Char">
    <w:name w:val="LCPldBlank Cont 9 Char"/>
    <w:basedOn w:val="BodyTextChar"/>
    <w:link w:val="LCPldBlankCont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1">
    <w:name w:val="LCPldBlank_L1"/>
    <w:basedOn w:val="Normal"/>
    <w:next w:val="BodyText"/>
    <w:link w:val="LCPldBlankL1Char"/>
    <w:rsid w:val="00C553CC"/>
    <w:pPr>
      <w:keepNext/>
      <w:keepLines/>
      <w:widowControl w:val="0"/>
      <w:numPr>
        <w:numId w:val="2"/>
      </w:numPr>
      <w:spacing w:after="240"/>
      <w:jc w:val="center"/>
      <w:outlineLvl w:val="0"/>
    </w:pPr>
    <w:rPr>
      <w:b/>
      <w:u w:val="single"/>
    </w:rPr>
  </w:style>
  <w:style w:type="character" w:customStyle="1" w:styleId="LCPldBlankL1Char">
    <w:name w:val="LCPldBlank_L1 Char"/>
    <w:basedOn w:val="BodyTextChar"/>
    <w:link w:val="LCPldBlankL1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2">
    <w:name w:val="LCPldBlank_L2"/>
    <w:basedOn w:val="LCPldBlankL1"/>
    <w:next w:val="BodyText"/>
    <w:link w:val="LCPldBlankL2Char"/>
    <w:rsid w:val="00C553CC"/>
    <w:pPr>
      <w:numPr>
        <w:ilvl w:val="1"/>
      </w:numPr>
      <w:jc w:val="left"/>
      <w:outlineLvl w:val="1"/>
    </w:pPr>
  </w:style>
  <w:style w:type="character" w:customStyle="1" w:styleId="LCPldBlankL2Char">
    <w:name w:val="LCPldBlank_L2 Char"/>
    <w:basedOn w:val="BodyTextChar"/>
    <w:link w:val="LCPldBlankL2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3">
    <w:name w:val="LCPldBlank_L3"/>
    <w:basedOn w:val="LCPldBlankL2"/>
    <w:next w:val="BodyText"/>
    <w:link w:val="LCPldBlankL3Char"/>
    <w:rsid w:val="00C553CC"/>
    <w:pPr>
      <w:numPr>
        <w:ilvl w:val="2"/>
      </w:numPr>
      <w:outlineLvl w:val="2"/>
    </w:pPr>
  </w:style>
  <w:style w:type="character" w:customStyle="1" w:styleId="LCPldBlankL3Char">
    <w:name w:val="LCPldBlank_L3 Char"/>
    <w:basedOn w:val="BodyTextChar"/>
    <w:link w:val="LCPldBlankL3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4">
    <w:name w:val="LCPldBlank_L4"/>
    <w:basedOn w:val="LCPldBlankL3"/>
    <w:next w:val="BodyText"/>
    <w:link w:val="LCPldBlankL4Char"/>
    <w:rsid w:val="00C553CC"/>
    <w:pPr>
      <w:numPr>
        <w:ilvl w:val="3"/>
      </w:numPr>
      <w:outlineLvl w:val="3"/>
    </w:pPr>
  </w:style>
  <w:style w:type="character" w:customStyle="1" w:styleId="LCPldBlankL4Char">
    <w:name w:val="LCPldBlank_L4 Char"/>
    <w:basedOn w:val="BodyTextChar"/>
    <w:link w:val="LCPldBlankL4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5">
    <w:name w:val="LCPldBlank_L5"/>
    <w:basedOn w:val="LCPldBlankL4"/>
    <w:next w:val="BodyText"/>
    <w:link w:val="LCPldBlankL5Char"/>
    <w:rsid w:val="00C553CC"/>
    <w:pPr>
      <w:numPr>
        <w:ilvl w:val="4"/>
      </w:numPr>
      <w:outlineLvl w:val="4"/>
    </w:pPr>
  </w:style>
  <w:style w:type="character" w:customStyle="1" w:styleId="LCPldBlankL5Char">
    <w:name w:val="LCPldBlank_L5 Char"/>
    <w:basedOn w:val="BodyTextChar"/>
    <w:link w:val="LCPldBlankL5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6">
    <w:name w:val="LCPldBlank_L6"/>
    <w:basedOn w:val="LCPldBlankL5"/>
    <w:link w:val="LCPldBlankL6Char"/>
    <w:rsid w:val="00C553CC"/>
    <w:pPr>
      <w:keepNext w:val="0"/>
      <w:keepLines w:val="0"/>
      <w:widowControl/>
      <w:numPr>
        <w:ilvl w:val="5"/>
      </w:numPr>
      <w:spacing w:after="0" w:line="480" w:lineRule="auto"/>
      <w:outlineLvl w:val="5"/>
    </w:pPr>
    <w:rPr>
      <w:b w:val="0"/>
      <w:u w:val="none"/>
    </w:rPr>
  </w:style>
  <w:style w:type="character" w:customStyle="1" w:styleId="LCPldBlankL6Char">
    <w:name w:val="LCPldBlank_L6 Char"/>
    <w:basedOn w:val="BodyTextChar"/>
    <w:link w:val="LCPldBlankL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7">
    <w:name w:val="LCPldBlank_L7"/>
    <w:basedOn w:val="LCPldBlankL6"/>
    <w:link w:val="LCPldBlankL7Char"/>
    <w:rsid w:val="00C553CC"/>
    <w:pPr>
      <w:numPr>
        <w:ilvl w:val="6"/>
      </w:numPr>
      <w:outlineLvl w:val="6"/>
    </w:pPr>
  </w:style>
  <w:style w:type="character" w:customStyle="1" w:styleId="LCPldBlankL7Char">
    <w:name w:val="LCPldBlank_L7 Char"/>
    <w:basedOn w:val="BodyTextChar"/>
    <w:link w:val="LCPldBlankL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8">
    <w:name w:val="LCPldBlank_L8"/>
    <w:basedOn w:val="LCPldBlankL7"/>
    <w:link w:val="LCPldBlankL8Char"/>
    <w:rsid w:val="00C553CC"/>
    <w:pPr>
      <w:numPr>
        <w:ilvl w:val="7"/>
      </w:numPr>
      <w:outlineLvl w:val="7"/>
    </w:pPr>
  </w:style>
  <w:style w:type="character" w:customStyle="1" w:styleId="LCPldBlankL8Char">
    <w:name w:val="LCPldBlank_L8 Char"/>
    <w:basedOn w:val="BodyTextChar"/>
    <w:link w:val="LCPldBlankL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9">
    <w:name w:val="LCPldBlank_L9"/>
    <w:basedOn w:val="LCPldBlankL8"/>
    <w:link w:val="LCPldBlankL9Char"/>
    <w:rsid w:val="00C553CC"/>
    <w:pPr>
      <w:numPr>
        <w:ilvl w:val="8"/>
      </w:numPr>
      <w:outlineLvl w:val="8"/>
    </w:pPr>
  </w:style>
  <w:style w:type="character" w:customStyle="1" w:styleId="LCPldBlankL9Char">
    <w:name w:val="LCPldBlank_L9 Char"/>
    <w:basedOn w:val="BodyTextChar"/>
    <w:link w:val="LCPldBlankL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A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4254</Characters>
  <Application>Microsoft Office Word</Application>
  <DocSecurity>0</DocSecurity>
  <PresentationFormat/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2025-08-06T14:49:00Z</dcterms:created>
  <dcterms:modified xsi:type="dcterms:W3CDTF">2025-08-06T14:49:00Z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ad294856-dfd2-4b9d-81a1-32b8a0118f30</vt:lpwstr>
  </property>
</Properties>
</file>