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BF840" w14:textId="77777777" w:rsidR="009A2BC1" w:rsidRPr="00454A33" w:rsidRDefault="006D4A35" w:rsidP="00454A33">
      <w:pPr>
        <w:pStyle w:val="Heading1"/>
      </w:pPr>
      <w:r>
        <w:t>TASL Event Information</w:t>
      </w:r>
      <w:r w:rsidR="009A2BC1">
        <w:t xml:space="preserve"> Overview</w:t>
      </w:r>
    </w:p>
    <w:p w14:paraId="179F7815" w14:textId="77777777" w:rsidR="002C67F4" w:rsidRPr="002C67F4" w:rsidRDefault="002C67F4" w:rsidP="002C67F4"/>
    <w:p w14:paraId="5BCE8662" w14:textId="77777777" w:rsidR="002C67F4" w:rsidRPr="003A5600" w:rsidRDefault="00E80C5C" w:rsidP="003A5600">
      <w:pPr>
        <w:spacing w:before="12"/>
        <w:ind w:left="360" w:right="6300"/>
        <w:rPr>
          <w:rFonts w:eastAsia="Times New Roman" w:cs="Open Sans"/>
          <w:b/>
          <w:sz w:val="24"/>
          <w:szCs w:val="20"/>
        </w:rPr>
      </w:pPr>
      <w:r w:rsidRPr="002C67F4">
        <w:rPr>
          <w:rFonts w:eastAsia="Times New Roman" w:cs="Open Sans"/>
          <w:b/>
          <w:sz w:val="24"/>
          <w:szCs w:val="20"/>
        </w:rPr>
        <w:t>General Information</w:t>
      </w:r>
    </w:p>
    <w:p w14:paraId="1D0645C1" w14:textId="77777777" w:rsidR="006D4A35" w:rsidRPr="004B348F" w:rsidRDefault="006D4A35" w:rsidP="006D4A35">
      <w:pPr>
        <w:pStyle w:val="ListParagraph"/>
        <w:numPr>
          <w:ilvl w:val="0"/>
          <w:numId w:val="4"/>
        </w:numPr>
        <w:rPr>
          <w:rFonts w:eastAsia="Times New Roman" w:cs="Open Sans"/>
          <w:sz w:val="19"/>
          <w:szCs w:val="19"/>
        </w:rPr>
      </w:pPr>
      <w:r w:rsidRPr="004B348F">
        <w:rPr>
          <w:rFonts w:eastAsia="Times New Roman" w:cs="Open Sans"/>
          <w:sz w:val="19"/>
          <w:szCs w:val="19"/>
        </w:rPr>
        <w:t>The TASL credit event application may be accessed from the TASL website under “event facilitator.”</w:t>
      </w:r>
    </w:p>
    <w:p w14:paraId="14AEC306" w14:textId="0C2ABE4F" w:rsidR="001926BE" w:rsidRPr="004B348F" w:rsidRDefault="001926BE" w:rsidP="006D4A35">
      <w:pPr>
        <w:pStyle w:val="ListParagraph"/>
        <w:numPr>
          <w:ilvl w:val="0"/>
          <w:numId w:val="4"/>
        </w:numPr>
        <w:rPr>
          <w:rFonts w:eastAsia="Times New Roman" w:cs="Open Sans"/>
          <w:sz w:val="19"/>
          <w:szCs w:val="19"/>
        </w:rPr>
      </w:pPr>
      <w:r w:rsidRPr="004B348F">
        <w:rPr>
          <w:rFonts w:eastAsia="Times New Roman" w:cs="Open Sans"/>
          <w:sz w:val="19"/>
          <w:szCs w:val="19"/>
        </w:rPr>
        <w:t xml:space="preserve">Event facilitators will receive an </w:t>
      </w:r>
      <w:r w:rsidRPr="004B348F">
        <w:rPr>
          <w:rFonts w:eastAsia="Times New Roman" w:cs="Open Sans"/>
          <w:b/>
          <w:sz w:val="19"/>
          <w:szCs w:val="19"/>
        </w:rPr>
        <w:t xml:space="preserve">approval email </w:t>
      </w:r>
      <w:r w:rsidR="00A7532C" w:rsidRPr="004B348F">
        <w:rPr>
          <w:rFonts w:eastAsia="Times New Roman" w:cs="Open Sans"/>
          <w:b/>
          <w:sz w:val="19"/>
          <w:szCs w:val="19"/>
        </w:rPr>
        <w:t xml:space="preserve">from </w:t>
      </w:r>
      <w:r w:rsidRPr="004B348F">
        <w:rPr>
          <w:rFonts w:eastAsia="Times New Roman" w:cs="Open Sans"/>
          <w:b/>
          <w:sz w:val="19"/>
          <w:szCs w:val="19"/>
        </w:rPr>
        <w:t>TNCompass</w:t>
      </w:r>
      <w:r w:rsidRPr="004B348F">
        <w:rPr>
          <w:rFonts w:eastAsia="Times New Roman" w:cs="Open Sans"/>
          <w:sz w:val="19"/>
          <w:szCs w:val="19"/>
        </w:rPr>
        <w:t xml:space="preserve"> with officially approved event information. This information should be used in all communication with participants and attendance documentation.</w:t>
      </w:r>
    </w:p>
    <w:p w14:paraId="0F7C82B7" w14:textId="77777777" w:rsidR="006D4A35" w:rsidRPr="004B348F" w:rsidRDefault="006D4A35" w:rsidP="006D4A35">
      <w:pPr>
        <w:pStyle w:val="ListParagraph"/>
        <w:numPr>
          <w:ilvl w:val="0"/>
          <w:numId w:val="4"/>
        </w:numPr>
        <w:rPr>
          <w:rFonts w:eastAsia="Times New Roman" w:cs="Open Sans"/>
          <w:b/>
          <w:sz w:val="19"/>
          <w:szCs w:val="19"/>
        </w:rPr>
      </w:pPr>
      <w:r w:rsidRPr="004B348F">
        <w:rPr>
          <w:rFonts w:eastAsia="Times New Roman" w:cs="Open Sans"/>
          <w:sz w:val="19"/>
          <w:szCs w:val="19"/>
        </w:rPr>
        <w:t xml:space="preserve">All events must be pre-approved </w:t>
      </w:r>
      <w:r w:rsidRPr="004B348F">
        <w:rPr>
          <w:rFonts w:eastAsia="Times New Roman" w:cs="Open Sans"/>
          <w:b/>
          <w:sz w:val="19"/>
          <w:szCs w:val="19"/>
        </w:rPr>
        <w:t>prior to advertising</w:t>
      </w:r>
      <w:r w:rsidRPr="004B348F">
        <w:rPr>
          <w:rFonts w:eastAsia="Times New Roman" w:cs="Open Sans"/>
          <w:sz w:val="19"/>
          <w:szCs w:val="19"/>
        </w:rPr>
        <w:t xml:space="preserve"> the event as a TASL credit event.</w:t>
      </w:r>
    </w:p>
    <w:p w14:paraId="36AF6F89" w14:textId="26922C58" w:rsidR="006D4A35" w:rsidRPr="004B348F" w:rsidRDefault="006D4A35" w:rsidP="006D4A35">
      <w:pPr>
        <w:pStyle w:val="ListParagraph"/>
        <w:numPr>
          <w:ilvl w:val="0"/>
          <w:numId w:val="4"/>
        </w:numPr>
        <w:rPr>
          <w:rFonts w:eastAsia="Times New Roman" w:cs="Open Sans"/>
          <w:b/>
          <w:sz w:val="19"/>
          <w:szCs w:val="19"/>
        </w:rPr>
      </w:pPr>
      <w:r w:rsidRPr="004B348F">
        <w:rPr>
          <w:rFonts w:eastAsia="Times New Roman" w:cs="Open Sans"/>
          <w:sz w:val="19"/>
          <w:szCs w:val="19"/>
        </w:rPr>
        <w:t xml:space="preserve">All events must </w:t>
      </w:r>
      <w:r w:rsidR="00A7532C" w:rsidRPr="004B348F">
        <w:rPr>
          <w:rFonts w:eastAsia="Times New Roman" w:cs="Open Sans"/>
          <w:sz w:val="19"/>
          <w:szCs w:val="19"/>
        </w:rPr>
        <w:t xml:space="preserve">be </w:t>
      </w:r>
      <w:r w:rsidR="00A7532C" w:rsidRPr="004B348F">
        <w:rPr>
          <w:rFonts w:eastAsia="Times New Roman" w:cs="Open Sans"/>
          <w:b/>
          <w:sz w:val="19"/>
          <w:szCs w:val="19"/>
        </w:rPr>
        <w:t>aligned</w:t>
      </w:r>
      <w:r w:rsidR="00A7532C" w:rsidRPr="004B348F">
        <w:rPr>
          <w:rFonts w:eastAsia="Times New Roman" w:cs="Open Sans"/>
          <w:sz w:val="19"/>
          <w:szCs w:val="19"/>
        </w:rPr>
        <w:t xml:space="preserve"> </w:t>
      </w:r>
      <w:r w:rsidRPr="004B348F">
        <w:rPr>
          <w:rFonts w:eastAsia="Times New Roman" w:cs="Open Sans"/>
          <w:sz w:val="19"/>
          <w:szCs w:val="19"/>
        </w:rPr>
        <w:t xml:space="preserve">to the Tennessee Instructional Leadership Standards (TILS), department strategic plan, and appropriate state initiatives.  </w:t>
      </w:r>
    </w:p>
    <w:p w14:paraId="0356B86F" w14:textId="6775104F" w:rsidR="006D4A35" w:rsidRPr="004B348F" w:rsidRDefault="006D4A35" w:rsidP="006D4A35">
      <w:pPr>
        <w:pStyle w:val="ListParagraph"/>
        <w:numPr>
          <w:ilvl w:val="0"/>
          <w:numId w:val="4"/>
        </w:numPr>
        <w:rPr>
          <w:rFonts w:eastAsia="Times New Roman" w:cs="Open Sans"/>
          <w:sz w:val="19"/>
          <w:szCs w:val="19"/>
        </w:rPr>
      </w:pPr>
      <w:r w:rsidRPr="004B348F">
        <w:rPr>
          <w:rFonts w:eastAsia="Times New Roman" w:cs="Open Sans"/>
          <w:sz w:val="19"/>
          <w:szCs w:val="19"/>
        </w:rPr>
        <w:t xml:space="preserve">Events are valid only for the specific date(s) requested. </w:t>
      </w:r>
      <w:r w:rsidRPr="004B348F">
        <w:rPr>
          <w:rFonts w:eastAsia="Times New Roman" w:cs="Open Sans"/>
          <w:b/>
          <w:sz w:val="19"/>
          <w:szCs w:val="19"/>
        </w:rPr>
        <w:t xml:space="preserve">Events can be </w:t>
      </w:r>
      <w:r w:rsidR="001926BE" w:rsidRPr="004B348F">
        <w:rPr>
          <w:rFonts w:eastAsia="Times New Roman" w:cs="Open Sans"/>
          <w:b/>
          <w:sz w:val="19"/>
          <w:szCs w:val="19"/>
        </w:rPr>
        <w:t>created for a single TASL cycle only</w:t>
      </w:r>
      <w:r w:rsidRPr="004B348F">
        <w:rPr>
          <w:rFonts w:eastAsia="Times New Roman" w:cs="Open Sans"/>
          <w:b/>
          <w:sz w:val="19"/>
          <w:szCs w:val="19"/>
        </w:rPr>
        <w:t>.</w:t>
      </w:r>
      <w:r w:rsidRPr="004B348F">
        <w:rPr>
          <w:rFonts w:eastAsia="Times New Roman" w:cs="Open Sans"/>
          <w:sz w:val="19"/>
          <w:szCs w:val="19"/>
        </w:rPr>
        <w:t xml:space="preserve"> TASL cycles are from July 1–June 30 of each calendar year.</w:t>
      </w:r>
      <w:r w:rsidRPr="004B348F">
        <w:rPr>
          <w:rFonts w:eastAsia="Times New Roman" w:cs="Open Sans"/>
          <w:b/>
          <w:sz w:val="19"/>
          <w:szCs w:val="19"/>
        </w:rPr>
        <w:t xml:space="preserve"> </w:t>
      </w:r>
      <w:r w:rsidR="003A5600" w:rsidRPr="004B348F">
        <w:rPr>
          <w:rFonts w:eastAsia="Times New Roman" w:cs="Open Sans"/>
          <w:sz w:val="19"/>
          <w:szCs w:val="19"/>
        </w:rPr>
        <w:t>A</w:t>
      </w:r>
      <w:r w:rsidRPr="004B348F">
        <w:rPr>
          <w:rFonts w:eastAsia="Times New Roman" w:cs="Open Sans"/>
          <w:sz w:val="19"/>
          <w:szCs w:val="19"/>
        </w:rPr>
        <w:t>pplications</w:t>
      </w:r>
      <w:r w:rsidR="003A5600" w:rsidRPr="004B348F">
        <w:rPr>
          <w:rFonts w:eastAsia="Times New Roman" w:cs="Open Sans"/>
          <w:sz w:val="19"/>
          <w:szCs w:val="19"/>
        </w:rPr>
        <w:t xml:space="preserve"> for recurring events</w:t>
      </w:r>
      <w:r w:rsidRPr="004B348F">
        <w:rPr>
          <w:rFonts w:eastAsia="Times New Roman" w:cs="Open Sans"/>
          <w:sz w:val="19"/>
          <w:szCs w:val="19"/>
        </w:rPr>
        <w:t xml:space="preserve"> must be submitted </w:t>
      </w:r>
      <w:r w:rsidR="003A5600" w:rsidRPr="004B348F">
        <w:rPr>
          <w:rFonts w:eastAsia="Times New Roman" w:cs="Open Sans"/>
          <w:sz w:val="19"/>
          <w:szCs w:val="19"/>
        </w:rPr>
        <w:t>for each TASL cycle</w:t>
      </w:r>
      <w:r w:rsidRPr="004B348F">
        <w:rPr>
          <w:rFonts w:eastAsia="Times New Roman" w:cs="Open Sans"/>
          <w:sz w:val="19"/>
          <w:szCs w:val="19"/>
        </w:rPr>
        <w:t>. No events will carry over from one TASL cycle to the next.</w:t>
      </w:r>
    </w:p>
    <w:p w14:paraId="30EE2FC0" w14:textId="10FF9AD7" w:rsidR="003A5600" w:rsidRPr="004B348F" w:rsidRDefault="00E80C5C" w:rsidP="006D4A35">
      <w:pPr>
        <w:pStyle w:val="ListParagraph"/>
        <w:numPr>
          <w:ilvl w:val="0"/>
          <w:numId w:val="4"/>
        </w:numPr>
        <w:rPr>
          <w:rFonts w:eastAsia="Times New Roman" w:cs="Open Sans"/>
          <w:b/>
          <w:sz w:val="19"/>
          <w:szCs w:val="19"/>
        </w:rPr>
      </w:pPr>
      <w:r w:rsidRPr="004B348F">
        <w:rPr>
          <w:rFonts w:eastAsia="Times New Roman" w:cs="Open Sans"/>
          <w:sz w:val="19"/>
          <w:szCs w:val="19"/>
        </w:rPr>
        <w:t>Events become available for self-reporting</w:t>
      </w:r>
      <w:r w:rsidR="00A7532C" w:rsidRPr="004B348F">
        <w:rPr>
          <w:rFonts w:eastAsia="Times New Roman" w:cs="Open Sans"/>
          <w:sz w:val="19"/>
          <w:szCs w:val="19"/>
        </w:rPr>
        <w:t xml:space="preserve"> in TNCompass</w:t>
      </w:r>
      <w:r w:rsidRPr="004B348F">
        <w:rPr>
          <w:rFonts w:eastAsia="Times New Roman" w:cs="Open Sans"/>
          <w:sz w:val="19"/>
          <w:szCs w:val="19"/>
        </w:rPr>
        <w:t xml:space="preserve"> (uploading of TASL documentation) </w:t>
      </w:r>
      <w:r w:rsidRPr="004B348F">
        <w:rPr>
          <w:rFonts w:eastAsia="Times New Roman" w:cs="Open Sans"/>
          <w:b/>
          <w:sz w:val="19"/>
          <w:szCs w:val="19"/>
        </w:rPr>
        <w:t xml:space="preserve">one </w:t>
      </w:r>
      <w:r w:rsidR="00A7532C" w:rsidRPr="004B348F">
        <w:rPr>
          <w:rFonts w:eastAsia="Times New Roman" w:cs="Open Sans"/>
          <w:b/>
          <w:sz w:val="19"/>
          <w:szCs w:val="19"/>
        </w:rPr>
        <w:t>business day</w:t>
      </w:r>
      <w:r w:rsidRPr="004B348F">
        <w:rPr>
          <w:rFonts w:eastAsia="Times New Roman" w:cs="Open Sans"/>
          <w:b/>
          <w:sz w:val="19"/>
          <w:szCs w:val="19"/>
        </w:rPr>
        <w:t xml:space="preserve"> after the last delivery date.</w:t>
      </w:r>
      <w:r w:rsidRPr="004B348F">
        <w:rPr>
          <w:rFonts w:eastAsia="Times New Roman" w:cs="Open Sans"/>
          <w:sz w:val="19"/>
          <w:szCs w:val="19"/>
        </w:rPr>
        <w:t xml:space="preserve">  </w:t>
      </w:r>
    </w:p>
    <w:p w14:paraId="3CAA9FC8" w14:textId="77777777" w:rsidR="00E80C5C" w:rsidRPr="004B348F" w:rsidRDefault="00E80C5C" w:rsidP="006D4A35">
      <w:pPr>
        <w:pStyle w:val="ListParagraph"/>
        <w:numPr>
          <w:ilvl w:val="0"/>
          <w:numId w:val="4"/>
        </w:numPr>
        <w:rPr>
          <w:rFonts w:eastAsia="Times New Roman" w:cs="Open Sans"/>
          <w:b/>
          <w:sz w:val="19"/>
          <w:szCs w:val="19"/>
        </w:rPr>
      </w:pPr>
      <w:r w:rsidRPr="004B348F">
        <w:rPr>
          <w:rFonts w:eastAsia="Times New Roman" w:cs="Open Sans"/>
          <w:b/>
          <w:sz w:val="19"/>
          <w:szCs w:val="19"/>
        </w:rPr>
        <w:t>Attendance documents should not be sent prior to the event end date.</w:t>
      </w:r>
    </w:p>
    <w:p w14:paraId="78C09CFC" w14:textId="77777777" w:rsidR="002C67F4" w:rsidRPr="004B348F" w:rsidRDefault="006D4A35" w:rsidP="009A2BC1">
      <w:pPr>
        <w:pStyle w:val="ListParagraph"/>
        <w:numPr>
          <w:ilvl w:val="0"/>
          <w:numId w:val="4"/>
        </w:numPr>
        <w:rPr>
          <w:rFonts w:eastAsia="Times New Roman" w:cs="Open Sans"/>
          <w:sz w:val="19"/>
          <w:szCs w:val="19"/>
        </w:rPr>
      </w:pPr>
      <w:r w:rsidRPr="004B348F">
        <w:rPr>
          <w:rFonts w:eastAsia="Times New Roman" w:cs="Open Sans"/>
          <w:sz w:val="19"/>
          <w:szCs w:val="19"/>
        </w:rPr>
        <w:t xml:space="preserve">Event facilitators will serve as the contact for TASL credit events, are responsible for keeping accurate attendance records, and must provide verification of attendance to each participant requesting TASL credit. </w:t>
      </w:r>
    </w:p>
    <w:p w14:paraId="10536DE1" w14:textId="77777777" w:rsidR="009A2BC1" w:rsidRPr="009A2BC1" w:rsidRDefault="009A2BC1" w:rsidP="009A2BC1">
      <w:pPr>
        <w:pStyle w:val="ListParagraph"/>
        <w:ind w:left="720"/>
        <w:rPr>
          <w:rFonts w:eastAsia="Times New Roman" w:cs="Open Sans"/>
          <w:szCs w:val="20"/>
        </w:rPr>
      </w:pPr>
    </w:p>
    <w:p w14:paraId="6BAB0DCD" w14:textId="77777777" w:rsidR="002C67F4" w:rsidRPr="003A5600" w:rsidRDefault="00E80C5C" w:rsidP="003A5600">
      <w:pPr>
        <w:spacing w:before="12"/>
        <w:ind w:left="360" w:right="6300"/>
        <w:rPr>
          <w:rFonts w:eastAsia="Times New Roman" w:cs="Open Sans"/>
          <w:b/>
          <w:sz w:val="24"/>
          <w:szCs w:val="20"/>
        </w:rPr>
      </w:pPr>
      <w:r w:rsidRPr="002C67F4">
        <w:rPr>
          <w:rFonts w:eastAsia="Times New Roman" w:cs="Open Sans"/>
          <w:b/>
          <w:sz w:val="24"/>
          <w:szCs w:val="20"/>
        </w:rPr>
        <w:t>Attendance Documentation</w:t>
      </w:r>
    </w:p>
    <w:p w14:paraId="1C3D731A" w14:textId="77777777" w:rsidR="006D4A35" w:rsidRPr="004B348F" w:rsidRDefault="006D4A35" w:rsidP="00E80C5C">
      <w:pPr>
        <w:pStyle w:val="ListParagraph"/>
        <w:numPr>
          <w:ilvl w:val="0"/>
          <w:numId w:val="5"/>
        </w:numPr>
        <w:rPr>
          <w:rFonts w:cs="Open Sans"/>
          <w:sz w:val="19"/>
          <w:szCs w:val="19"/>
        </w:rPr>
      </w:pPr>
      <w:r w:rsidRPr="004B348F">
        <w:rPr>
          <w:rFonts w:cs="Open Sans"/>
          <w:sz w:val="19"/>
          <w:szCs w:val="19"/>
        </w:rPr>
        <w:t>Proof of attendance must be provided to participants by the event organizer. This documentation may be in the form of an email or certificate and should include:</w:t>
      </w:r>
    </w:p>
    <w:p w14:paraId="7C756935" w14:textId="77777777" w:rsidR="006D4A35" w:rsidRPr="004B348F" w:rsidRDefault="006D4A35" w:rsidP="006D4A35">
      <w:pPr>
        <w:pStyle w:val="ListParagraph"/>
        <w:widowControl/>
        <w:numPr>
          <w:ilvl w:val="1"/>
          <w:numId w:val="4"/>
        </w:numPr>
        <w:contextualSpacing/>
        <w:rPr>
          <w:rFonts w:cs="Open Sans"/>
          <w:b/>
          <w:sz w:val="19"/>
          <w:szCs w:val="19"/>
        </w:rPr>
      </w:pPr>
      <w:r w:rsidRPr="004B348F">
        <w:rPr>
          <w:rFonts w:cs="Open Sans"/>
          <w:b/>
          <w:sz w:val="19"/>
          <w:szCs w:val="19"/>
        </w:rPr>
        <w:t>The exact title of the event as recorded in the</w:t>
      </w:r>
      <w:r w:rsidRPr="004B348F">
        <w:rPr>
          <w:rFonts w:cs="Open Sans"/>
          <w:sz w:val="19"/>
          <w:szCs w:val="19"/>
        </w:rPr>
        <w:t xml:space="preserve"> </w:t>
      </w:r>
      <w:r w:rsidRPr="004B348F">
        <w:rPr>
          <w:rFonts w:cs="Open Sans"/>
          <w:b/>
          <w:sz w:val="19"/>
          <w:szCs w:val="19"/>
        </w:rPr>
        <w:t>verification email</w:t>
      </w:r>
      <w:r w:rsidRPr="004B348F">
        <w:rPr>
          <w:rFonts w:cs="Open Sans"/>
          <w:sz w:val="19"/>
          <w:szCs w:val="19"/>
        </w:rPr>
        <w:t xml:space="preserve"> </w:t>
      </w:r>
      <w:r w:rsidRPr="004B348F">
        <w:rPr>
          <w:rFonts w:cs="Open Sans"/>
          <w:b/>
          <w:sz w:val="19"/>
          <w:szCs w:val="19"/>
        </w:rPr>
        <w:t xml:space="preserve">received </w:t>
      </w:r>
      <w:r w:rsidR="00E80C5C" w:rsidRPr="004B348F">
        <w:rPr>
          <w:rFonts w:cs="Open Sans"/>
          <w:b/>
          <w:sz w:val="19"/>
          <w:szCs w:val="19"/>
        </w:rPr>
        <w:t>from</w:t>
      </w:r>
      <w:r w:rsidRPr="004B348F">
        <w:rPr>
          <w:rFonts w:cs="Open Sans"/>
          <w:b/>
          <w:sz w:val="19"/>
          <w:szCs w:val="19"/>
        </w:rPr>
        <w:t xml:space="preserve"> TNCompass</w:t>
      </w:r>
    </w:p>
    <w:p w14:paraId="3F52225F" w14:textId="77777777" w:rsidR="006D4A35" w:rsidRPr="004B348F" w:rsidRDefault="006D4A35" w:rsidP="006D4A35">
      <w:pPr>
        <w:pStyle w:val="ListParagraph"/>
        <w:widowControl/>
        <w:numPr>
          <w:ilvl w:val="1"/>
          <w:numId w:val="4"/>
        </w:numPr>
        <w:contextualSpacing/>
        <w:rPr>
          <w:rFonts w:cs="Open Sans"/>
          <w:sz w:val="19"/>
          <w:szCs w:val="19"/>
        </w:rPr>
      </w:pPr>
      <w:r w:rsidRPr="004B348F">
        <w:rPr>
          <w:rFonts w:cs="Open Sans"/>
          <w:sz w:val="19"/>
          <w:szCs w:val="19"/>
        </w:rPr>
        <w:t xml:space="preserve">Participant </w:t>
      </w:r>
      <w:r w:rsidRPr="004B348F">
        <w:rPr>
          <w:rFonts w:cs="Open Sans"/>
          <w:b/>
          <w:sz w:val="19"/>
          <w:szCs w:val="19"/>
        </w:rPr>
        <w:t>name</w:t>
      </w:r>
      <w:r w:rsidR="0020111B" w:rsidRPr="004B348F">
        <w:rPr>
          <w:rFonts w:cs="Open Sans"/>
          <w:sz w:val="19"/>
          <w:szCs w:val="19"/>
        </w:rPr>
        <w:t xml:space="preserve"> and </w:t>
      </w:r>
      <w:r w:rsidR="0020111B" w:rsidRPr="004B348F">
        <w:rPr>
          <w:rFonts w:cs="Open Sans"/>
          <w:b/>
          <w:sz w:val="19"/>
          <w:szCs w:val="19"/>
        </w:rPr>
        <w:t>license</w:t>
      </w:r>
      <w:r w:rsidR="0020111B" w:rsidRPr="004B348F">
        <w:rPr>
          <w:rFonts w:cs="Open Sans"/>
          <w:sz w:val="19"/>
          <w:szCs w:val="19"/>
        </w:rPr>
        <w:t xml:space="preserve"> </w:t>
      </w:r>
      <w:r w:rsidR="0020111B" w:rsidRPr="004B348F">
        <w:rPr>
          <w:rFonts w:cs="Open Sans"/>
          <w:b/>
          <w:sz w:val="19"/>
          <w:szCs w:val="19"/>
        </w:rPr>
        <w:t>number</w:t>
      </w:r>
    </w:p>
    <w:p w14:paraId="4CFD63C3" w14:textId="77777777" w:rsidR="006D4A35" w:rsidRPr="004B348F" w:rsidRDefault="006D4A35" w:rsidP="006D4A35">
      <w:pPr>
        <w:pStyle w:val="ListParagraph"/>
        <w:widowControl/>
        <w:numPr>
          <w:ilvl w:val="1"/>
          <w:numId w:val="4"/>
        </w:numPr>
        <w:contextualSpacing/>
        <w:rPr>
          <w:rFonts w:cs="Open Sans"/>
          <w:sz w:val="19"/>
          <w:szCs w:val="19"/>
        </w:rPr>
      </w:pPr>
      <w:r w:rsidRPr="004B348F">
        <w:rPr>
          <w:rFonts w:cs="Open Sans"/>
          <w:sz w:val="19"/>
          <w:szCs w:val="19"/>
        </w:rPr>
        <w:t xml:space="preserve">Approved credit hours </w:t>
      </w:r>
      <w:r w:rsidRPr="004B348F">
        <w:rPr>
          <w:rFonts w:cs="Open Sans"/>
          <w:b/>
          <w:sz w:val="19"/>
          <w:szCs w:val="19"/>
        </w:rPr>
        <w:t>as</w:t>
      </w:r>
      <w:r w:rsidRPr="004B348F">
        <w:rPr>
          <w:rFonts w:cs="Open Sans"/>
          <w:sz w:val="19"/>
          <w:szCs w:val="19"/>
        </w:rPr>
        <w:t xml:space="preserve"> </w:t>
      </w:r>
      <w:r w:rsidRPr="004B348F">
        <w:rPr>
          <w:rFonts w:cs="Open Sans"/>
          <w:b/>
          <w:sz w:val="19"/>
          <w:szCs w:val="19"/>
        </w:rPr>
        <w:t>recorded in the</w:t>
      </w:r>
      <w:r w:rsidRPr="004B348F">
        <w:rPr>
          <w:rFonts w:cs="Open Sans"/>
          <w:sz w:val="19"/>
          <w:szCs w:val="19"/>
        </w:rPr>
        <w:t xml:space="preserve"> </w:t>
      </w:r>
      <w:r w:rsidRPr="004B348F">
        <w:rPr>
          <w:rFonts w:cs="Open Sans"/>
          <w:b/>
          <w:sz w:val="19"/>
          <w:szCs w:val="19"/>
        </w:rPr>
        <w:t>verification email</w:t>
      </w:r>
      <w:r w:rsidRPr="004B348F">
        <w:rPr>
          <w:rFonts w:cs="Open Sans"/>
          <w:sz w:val="19"/>
          <w:szCs w:val="19"/>
        </w:rPr>
        <w:t xml:space="preserve"> received </w:t>
      </w:r>
      <w:r w:rsidR="00E80C5C" w:rsidRPr="004B348F">
        <w:rPr>
          <w:rFonts w:cs="Open Sans"/>
          <w:sz w:val="19"/>
          <w:szCs w:val="19"/>
        </w:rPr>
        <w:t>from</w:t>
      </w:r>
      <w:r w:rsidRPr="004B348F">
        <w:rPr>
          <w:rFonts w:cs="Open Sans"/>
          <w:sz w:val="19"/>
          <w:szCs w:val="19"/>
        </w:rPr>
        <w:t xml:space="preserve"> TNCompass</w:t>
      </w:r>
    </w:p>
    <w:p w14:paraId="2FE91418" w14:textId="77777777" w:rsidR="00E80C5C" w:rsidRPr="004B348F" w:rsidRDefault="006D4A35" w:rsidP="006D4A35">
      <w:pPr>
        <w:pStyle w:val="ListParagraph"/>
        <w:widowControl/>
        <w:numPr>
          <w:ilvl w:val="1"/>
          <w:numId w:val="4"/>
        </w:numPr>
        <w:contextualSpacing/>
        <w:rPr>
          <w:rFonts w:cs="Open Sans"/>
          <w:sz w:val="19"/>
          <w:szCs w:val="19"/>
        </w:rPr>
      </w:pPr>
      <w:r w:rsidRPr="004B348F">
        <w:rPr>
          <w:rFonts w:cs="Open Sans"/>
          <w:sz w:val="19"/>
          <w:szCs w:val="19"/>
        </w:rPr>
        <w:t xml:space="preserve">Date, </w:t>
      </w:r>
      <w:r w:rsidR="00E80C5C" w:rsidRPr="004B348F">
        <w:rPr>
          <w:rFonts w:cs="Open Sans"/>
          <w:sz w:val="19"/>
          <w:szCs w:val="19"/>
        </w:rPr>
        <w:t>location, and title of event</w:t>
      </w:r>
      <w:r w:rsidR="00E80C5C" w:rsidRPr="004B348F">
        <w:rPr>
          <w:rFonts w:cs="Open Sans"/>
          <w:b/>
          <w:sz w:val="19"/>
          <w:szCs w:val="19"/>
        </w:rPr>
        <w:t xml:space="preserve"> as</w:t>
      </w:r>
      <w:r w:rsidR="00E80C5C" w:rsidRPr="004B348F">
        <w:rPr>
          <w:rFonts w:cs="Open Sans"/>
          <w:sz w:val="19"/>
          <w:szCs w:val="19"/>
        </w:rPr>
        <w:t xml:space="preserve"> </w:t>
      </w:r>
      <w:r w:rsidR="00E80C5C" w:rsidRPr="004B348F">
        <w:rPr>
          <w:rFonts w:cs="Open Sans"/>
          <w:b/>
          <w:sz w:val="19"/>
          <w:szCs w:val="19"/>
        </w:rPr>
        <w:t>recorded in the</w:t>
      </w:r>
      <w:r w:rsidR="00E80C5C" w:rsidRPr="004B348F">
        <w:rPr>
          <w:rFonts w:cs="Open Sans"/>
          <w:sz w:val="19"/>
          <w:szCs w:val="19"/>
        </w:rPr>
        <w:t xml:space="preserve"> </w:t>
      </w:r>
      <w:r w:rsidR="00E80C5C" w:rsidRPr="004B348F">
        <w:rPr>
          <w:rFonts w:cs="Open Sans"/>
          <w:b/>
          <w:sz w:val="19"/>
          <w:szCs w:val="19"/>
        </w:rPr>
        <w:t>verification email</w:t>
      </w:r>
      <w:r w:rsidR="00E80C5C" w:rsidRPr="004B348F">
        <w:rPr>
          <w:rFonts w:cs="Open Sans"/>
          <w:sz w:val="19"/>
          <w:szCs w:val="19"/>
        </w:rPr>
        <w:t xml:space="preserve"> received from TNCompass </w:t>
      </w:r>
    </w:p>
    <w:p w14:paraId="1BB4B7E9" w14:textId="77777777" w:rsidR="006D4A35" w:rsidRPr="004B348F" w:rsidRDefault="006D4A35" w:rsidP="006D4A35">
      <w:pPr>
        <w:pStyle w:val="ListParagraph"/>
        <w:widowControl/>
        <w:numPr>
          <w:ilvl w:val="1"/>
          <w:numId w:val="4"/>
        </w:numPr>
        <w:contextualSpacing/>
        <w:rPr>
          <w:rFonts w:cs="Open Sans"/>
          <w:sz w:val="19"/>
          <w:szCs w:val="19"/>
        </w:rPr>
      </w:pPr>
      <w:r w:rsidRPr="004B348F">
        <w:rPr>
          <w:rFonts w:cs="Open Sans"/>
          <w:b/>
          <w:sz w:val="19"/>
          <w:szCs w:val="19"/>
        </w:rPr>
        <w:t>Name and title</w:t>
      </w:r>
      <w:r w:rsidRPr="004B348F">
        <w:rPr>
          <w:rFonts w:cs="Open Sans"/>
          <w:sz w:val="19"/>
          <w:szCs w:val="19"/>
        </w:rPr>
        <w:t xml:space="preserve"> of the event organizer/organizing entity</w:t>
      </w:r>
    </w:p>
    <w:p w14:paraId="7F001B4A" w14:textId="77777777" w:rsidR="006D4A35" w:rsidRPr="004B348F" w:rsidRDefault="006D4A35" w:rsidP="006D4A35">
      <w:pPr>
        <w:pStyle w:val="ListParagraph"/>
        <w:widowControl/>
        <w:numPr>
          <w:ilvl w:val="1"/>
          <w:numId w:val="4"/>
        </w:numPr>
        <w:contextualSpacing/>
        <w:rPr>
          <w:rFonts w:cs="Open Sans"/>
          <w:sz w:val="19"/>
          <w:szCs w:val="19"/>
        </w:rPr>
      </w:pPr>
      <w:r w:rsidRPr="004B348F">
        <w:rPr>
          <w:rFonts w:cs="Open Sans"/>
          <w:b/>
          <w:sz w:val="19"/>
          <w:szCs w:val="19"/>
        </w:rPr>
        <w:t>Signature</w:t>
      </w:r>
      <w:r w:rsidRPr="004B348F">
        <w:rPr>
          <w:rFonts w:cs="Open Sans"/>
          <w:sz w:val="19"/>
          <w:szCs w:val="19"/>
        </w:rPr>
        <w:t xml:space="preserve"> of event organizer (</w:t>
      </w:r>
      <w:r w:rsidR="00A7532C" w:rsidRPr="004B348F">
        <w:rPr>
          <w:rFonts w:cs="Open Sans"/>
          <w:sz w:val="19"/>
          <w:szCs w:val="19"/>
        </w:rPr>
        <w:t xml:space="preserve">a </w:t>
      </w:r>
      <w:r w:rsidRPr="004B348F">
        <w:rPr>
          <w:rFonts w:cs="Open Sans"/>
          <w:sz w:val="19"/>
          <w:szCs w:val="19"/>
        </w:rPr>
        <w:t>digitally captured signature is acceptable)</w:t>
      </w:r>
    </w:p>
    <w:p w14:paraId="4223E82F" w14:textId="77777777" w:rsidR="00A7532C" w:rsidRPr="004B348F" w:rsidRDefault="00A7532C" w:rsidP="00E80C5C">
      <w:pPr>
        <w:pStyle w:val="ListParagraph"/>
        <w:widowControl/>
        <w:numPr>
          <w:ilvl w:val="1"/>
          <w:numId w:val="4"/>
        </w:numPr>
        <w:contextualSpacing/>
        <w:rPr>
          <w:rFonts w:cs="Open Sans"/>
          <w:sz w:val="19"/>
          <w:szCs w:val="19"/>
        </w:rPr>
      </w:pPr>
      <w:r w:rsidRPr="004B348F">
        <w:rPr>
          <w:rFonts w:cs="Open Sans"/>
          <w:sz w:val="19"/>
          <w:szCs w:val="19"/>
        </w:rPr>
        <w:t>Official letterhead, signature, or seal</w:t>
      </w:r>
    </w:p>
    <w:p w14:paraId="768F281D" w14:textId="1BD78ADA" w:rsidR="006D4A35" w:rsidRPr="004B348F" w:rsidRDefault="00A7532C" w:rsidP="004B348F">
      <w:pPr>
        <w:pStyle w:val="ListParagraph"/>
        <w:widowControl/>
        <w:numPr>
          <w:ilvl w:val="2"/>
          <w:numId w:val="4"/>
        </w:numPr>
        <w:contextualSpacing/>
        <w:rPr>
          <w:rFonts w:cs="Open Sans"/>
          <w:sz w:val="19"/>
          <w:szCs w:val="19"/>
        </w:rPr>
      </w:pPr>
      <w:bookmarkStart w:id="0" w:name="_GoBack"/>
      <w:r w:rsidRPr="004B348F">
        <w:rPr>
          <w:rFonts w:cs="Open Sans"/>
          <w:sz w:val="19"/>
          <w:szCs w:val="19"/>
        </w:rPr>
        <w:t>Documentation for department-facilitated events m</w:t>
      </w:r>
      <w:r w:rsidR="006D4A35" w:rsidRPr="004B348F">
        <w:rPr>
          <w:rFonts w:cs="Open Sans"/>
          <w:sz w:val="19"/>
          <w:szCs w:val="19"/>
        </w:rPr>
        <w:t xml:space="preserve">ust be on </w:t>
      </w:r>
      <w:r w:rsidR="006D4A35" w:rsidRPr="004B348F">
        <w:rPr>
          <w:rFonts w:cs="Open Sans"/>
          <w:b/>
          <w:sz w:val="19"/>
          <w:szCs w:val="19"/>
        </w:rPr>
        <w:t>official</w:t>
      </w:r>
      <w:r w:rsidR="006D4A35" w:rsidRPr="004B348F">
        <w:rPr>
          <w:rFonts w:cs="Open Sans"/>
          <w:sz w:val="19"/>
          <w:szCs w:val="19"/>
        </w:rPr>
        <w:t xml:space="preserve"> </w:t>
      </w:r>
      <w:r w:rsidR="00E80C5C" w:rsidRPr="004B348F">
        <w:rPr>
          <w:rFonts w:cs="Open Sans"/>
          <w:b/>
          <w:sz w:val="19"/>
          <w:szCs w:val="19"/>
        </w:rPr>
        <w:t>letterhead</w:t>
      </w:r>
      <w:r w:rsidR="00E80C5C" w:rsidRPr="004B348F">
        <w:rPr>
          <w:rFonts w:cs="Open Sans"/>
          <w:sz w:val="19"/>
          <w:szCs w:val="19"/>
        </w:rPr>
        <w:t xml:space="preserve">, </w:t>
      </w:r>
      <w:r w:rsidR="0020111B" w:rsidRPr="004B348F">
        <w:rPr>
          <w:rFonts w:cs="Open Sans"/>
          <w:sz w:val="19"/>
          <w:szCs w:val="19"/>
        </w:rPr>
        <w:t>include</w:t>
      </w:r>
      <w:r w:rsidR="00E80C5C" w:rsidRPr="004B348F">
        <w:rPr>
          <w:rFonts w:cs="Open Sans"/>
          <w:sz w:val="19"/>
          <w:szCs w:val="19"/>
        </w:rPr>
        <w:t xml:space="preserve"> </w:t>
      </w:r>
      <w:r w:rsidR="00E80C5C" w:rsidRPr="004B348F">
        <w:rPr>
          <w:rFonts w:cs="Open Sans"/>
          <w:b/>
          <w:sz w:val="19"/>
          <w:szCs w:val="19"/>
        </w:rPr>
        <w:t xml:space="preserve">official </w:t>
      </w:r>
      <w:bookmarkEnd w:id="0"/>
      <w:r w:rsidR="00E80C5C" w:rsidRPr="004B348F">
        <w:rPr>
          <w:rFonts w:cs="Open Sans"/>
          <w:b/>
          <w:sz w:val="19"/>
          <w:szCs w:val="19"/>
        </w:rPr>
        <w:t>state email signature</w:t>
      </w:r>
      <w:r w:rsidR="00E80C5C" w:rsidRPr="004B348F">
        <w:rPr>
          <w:rFonts w:cs="Open Sans"/>
          <w:sz w:val="19"/>
          <w:szCs w:val="19"/>
        </w:rPr>
        <w:t xml:space="preserve">, or </w:t>
      </w:r>
      <w:r w:rsidR="009A2BC1" w:rsidRPr="004B348F">
        <w:rPr>
          <w:rFonts w:cs="Open Sans"/>
          <w:sz w:val="19"/>
          <w:szCs w:val="19"/>
        </w:rPr>
        <w:t xml:space="preserve">have </w:t>
      </w:r>
      <w:r w:rsidR="009A2BC1" w:rsidRPr="004B348F">
        <w:rPr>
          <w:rFonts w:cs="Open Sans"/>
          <w:b/>
          <w:sz w:val="19"/>
          <w:szCs w:val="19"/>
        </w:rPr>
        <w:t>official state</w:t>
      </w:r>
      <w:r w:rsidR="006D4A35" w:rsidRPr="004B348F">
        <w:rPr>
          <w:rFonts w:cs="Open Sans"/>
          <w:b/>
          <w:sz w:val="19"/>
          <w:szCs w:val="19"/>
        </w:rPr>
        <w:t xml:space="preserve"> seal</w:t>
      </w:r>
      <w:r w:rsidR="00454A33" w:rsidRPr="004B348F">
        <w:rPr>
          <w:rFonts w:cs="Open Sans"/>
          <w:sz w:val="19"/>
          <w:szCs w:val="19"/>
        </w:rPr>
        <w:t xml:space="preserve"> </w:t>
      </w:r>
    </w:p>
    <w:p w14:paraId="6D02E6F4" w14:textId="684D08EC" w:rsidR="00454A33" w:rsidRPr="004B348F" w:rsidRDefault="00A7532C" w:rsidP="004B348F">
      <w:pPr>
        <w:pStyle w:val="ListParagraph"/>
        <w:widowControl/>
        <w:numPr>
          <w:ilvl w:val="2"/>
          <w:numId w:val="4"/>
        </w:numPr>
        <w:contextualSpacing/>
        <w:rPr>
          <w:rFonts w:cs="Open Sans"/>
          <w:sz w:val="19"/>
          <w:szCs w:val="19"/>
        </w:rPr>
      </w:pPr>
      <w:r w:rsidRPr="004B348F">
        <w:rPr>
          <w:rFonts w:cs="Open Sans"/>
          <w:sz w:val="19"/>
          <w:szCs w:val="19"/>
        </w:rPr>
        <w:t>Documentation for events facilitated by external providers m</w:t>
      </w:r>
      <w:r w:rsidR="00454A33" w:rsidRPr="004B348F">
        <w:rPr>
          <w:rFonts w:cs="Open Sans"/>
          <w:sz w:val="19"/>
          <w:szCs w:val="19"/>
        </w:rPr>
        <w:t xml:space="preserve">ust be on </w:t>
      </w:r>
      <w:r w:rsidR="00454A33" w:rsidRPr="004B348F">
        <w:rPr>
          <w:rFonts w:cs="Open Sans"/>
          <w:b/>
          <w:sz w:val="19"/>
          <w:szCs w:val="19"/>
        </w:rPr>
        <w:t>official letterhead</w:t>
      </w:r>
      <w:r w:rsidR="00454A33" w:rsidRPr="004B348F">
        <w:rPr>
          <w:rFonts w:cs="Open Sans"/>
          <w:sz w:val="19"/>
          <w:szCs w:val="19"/>
        </w:rPr>
        <w:t xml:space="preserve">, include </w:t>
      </w:r>
      <w:r w:rsidR="00454A33" w:rsidRPr="004B348F">
        <w:rPr>
          <w:rFonts w:cs="Open Sans"/>
          <w:b/>
          <w:sz w:val="19"/>
          <w:szCs w:val="19"/>
        </w:rPr>
        <w:t>official email signature</w:t>
      </w:r>
      <w:r w:rsidR="00454A33" w:rsidRPr="004B348F">
        <w:rPr>
          <w:rFonts w:cs="Open Sans"/>
          <w:sz w:val="19"/>
          <w:szCs w:val="19"/>
        </w:rPr>
        <w:t xml:space="preserve">, or have </w:t>
      </w:r>
      <w:r w:rsidR="00454A33" w:rsidRPr="004B348F">
        <w:rPr>
          <w:rFonts w:cs="Open Sans"/>
          <w:b/>
          <w:sz w:val="19"/>
          <w:szCs w:val="19"/>
        </w:rPr>
        <w:t>official organization seal</w:t>
      </w:r>
      <w:r w:rsidR="00454A33" w:rsidRPr="004B348F">
        <w:rPr>
          <w:rFonts w:cs="Open Sans"/>
          <w:sz w:val="19"/>
          <w:szCs w:val="19"/>
        </w:rPr>
        <w:t xml:space="preserve"> </w:t>
      </w:r>
    </w:p>
    <w:p w14:paraId="236319C0" w14:textId="77777777" w:rsidR="006D4A35" w:rsidRPr="004B348F" w:rsidRDefault="006D4A35" w:rsidP="006D4A35">
      <w:pPr>
        <w:pStyle w:val="ListParagraph"/>
        <w:numPr>
          <w:ilvl w:val="0"/>
          <w:numId w:val="4"/>
        </w:numPr>
        <w:rPr>
          <w:rFonts w:eastAsia="Times New Roman" w:cs="Open Sans"/>
          <w:b/>
          <w:sz w:val="19"/>
          <w:szCs w:val="19"/>
        </w:rPr>
      </w:pPr>
      <w:r w:rsidRPr="004B348F">
        <w:rPr>
          <w:rFonts w:eastAsia="Times New Roman" w:cs="Open Sans"/>
          <w:sz w:val="19"/>
          <w:szCs w:val="19"/>
        </w:rPr>
        <w:t xml:space="preserve">Any post-event attendance issues raised by participants will be directed to event organizers. The event facilitator should keep a copy of all attendance records.  </w:t>
      </w:r>
    </w:p>
    <w:p w14:paraId="2BDF9F03" w14:textId="77777777" w:rsidR="00E42CE9" w:rsidRPr="004B348F" w:rsidRDefault="00E42CE9" w:rsidP="00E42CE9">
      <w:pPr>
        <w:pStyle w:val="ListParagraph"/>
        <w:numPr>
          <w:ilvl w:val="0"/>
          <w:numId w:val="4"/>
        </w:numPr>
        <w:rPr>
          <w:rFonts w:eastAsia="Times New Roman" w:cs="Open Sans"/>
          <w:b/>
          <w:sz w:val="19"/>
          <w:szCs w:val="19"/>
        </w:rPr>
      </w:pPr>
      <w:r w:rsidRPr="004B348F">
        <w:rPr>
          <w:rFonts w:eastAsia="Times New Roman" w:cs="Open Sans"/>
          <w:b/>
          <w:sz w:val="19"/>
          <w:szCs w:val="19"/>
        </w:rPr>
        <w:t xml:space="preserve">Attendance documents should not be sent prior to the </w:t>
      </w:r>
      <w:r w:rsidR="00E3177D" w:rsidRPr="004B348F">
        <w:rPr>
          <w:rFonts w:eastAsia="Times New Roman" w:cs="Open Sans"/>
          <w:b/>
          <w:sz w:val="19"/>
          <w:szCs w:val="19"/>
        </w:rPr>
        <w:t xml:space="preserve">reported </w:t>
      </w:r>
      <w:r w:rsidRPr="004B348F">
        <w:rPr>
          <w:rFonts w:eastAsia="Times New Roman" w:cs="Open Sans"/>
          <w:b/>
          <w:sz w:val="19"/>
          <w:szCs w:val="19"/>
        </w:rPr>
        <w:t>event end date.</w:t>
      </w:r>
    </w:p>
    <w:p w14:paraId="3CE3FBC6" w14:textId="77777777" w:rsidR="002C67F4" w:rsidRDefault="002C67F4" w:rsidP="009A2BC1">
      <w:pPr>
        <w:rPr>
          <w:rFonts w:eastAsia="Times New Roman" w:cs="Open Sans"/>
          <w:b/>
          <w:sz w:val="24"/>
          <w:szCs w:val="20"/>
        </w:rPr>
      </w:pPr>
    </w:p>
    <w:p w14:paraId="113EB1ED" w14:textId="77777777" w:rsidR="002C67F4" w:rsidRPr="003A5600" w:rsidRDefault="002C67F4" w:rsidP="003A5600">
      <w:pPr>
        <w:ind w:left="360"/>
        <w:rPr>
          <w:rFonts w:eastAsia="Times New Roman" w:cs="Open Sans"/>
          <w:b/>
          <w:sz w:val="24"/>
          <w:szCs w:val="20"/>
        </w:rPr>
      </w:pPr>
      <w:r>
        <w:rPr>
          <w:rFonts w:eastAsia="Times New Roman" w:cs="Open Sans"/>
          <w:b/>
          <w:sz w:val="24"/>
          <w:szCs w:val="20"/>
        </w:rPr>
        <w:t>TA</w:t>
      </w:r>
      <w:r w:rsidR="003A5600">
        <w:rPr>
          <w:rFonts w:eastAsia="Times New Roman" w:cs="Open Sans"/>
          <w:b/>
          <w:sz w:val="24"/>
          <w:szCs w:val="20"/>
        </w:rPr>
        <w:t>SL Credit Minimums and Maximums</w:t>
      </w:r>
    </w:p>
    <w:p w14:paraId="2D3C8027" w14:textId="77777777" w:rsidR="006D4A35" w:rsidRPr="004B348F" w:rsidRDefault="006D4A35" w:rsidP="004B348F">
      <w:pPr>
        <w:pStyle w:val="ListParagraph"/>
        <w:widowControl/>
        <w:numPr>
          <w:ilvl w:val="0"/>
          <w:numId w:val="6"/>
        </w:numPr>
        <w:contextualSpacing/>
        <w:rPr>
          <w:rFonts w:eastAsia="Times New Roman" w:cs="Open Sans"/>
          <w:sz w:val="19"/>
          <w:szCs w:val="19"/>
        </w:rPr>
      </w:pPr>
      <w:r w:rsidRPr="004B348F">
        <w:rPr>
          <w:rFonts w:eastAsia="Times New Roman" w:cs="Open Sans"/>
          <w:sz w:val="19"/>
          <w:szCs w:val="19"/>
        </w:rPr>
        <w:t xml:space="preserve">TASL approved events may not provide </w:t>
      </w:r>
      <w:r w:rsidRPr="004B348F">
        <w:rPr>
          <w:rFonts w:eastAsia="Times New Roman" w:cs="Open Sans"/>
          <w:b/>
          <w:sz w:val="19"/>
          <w:szCs w:val="19"/>
        </w:rPr>
        <w:t>fewer than four hours</w:t>
      </w:r>
      <w:r w:rsidRPr="004B348F">
        <w:rPr>
          <w:rFonts w:eastAsia="Times New Roman" w:cs="Open Sans"/>
          <w:sz w:val="19"/>
          <w:szCs w:val="19"/>
        </w:rPr>
        <w:t xml:space="preserve"> </w:t>
      </w:r>
      <w:r w:rsidRPr="004B348F">
        <w:rPr>
          <w:rFonts w:eastAsia="Times New Roman" w:cs="Open Sans"/>
          <w:b/>
          <w:sz w:val="19"/>
          <w:szCs w:val="19"/>
        </w:rPr>
        <w:t>or</w:t>
      </w:r>
      <w:r w:rsidRPr="004B348F">
        <w:rPr>
          <w:rFonts w:eastAsia="Times New Roman" w:cs="Open Sans"/>
          <w:sz w:val="19"/>
          <w:szCs w:val="19"/>
        </w:rPr>
        <w:t xml:space="preserve"> </w:t>
      </w:r>
      <w:r w:rsidRPr="004B348F">
        <w:rPr>
          <w:rFonts w:eastAsia="Times New Roman" w:cs="Open Sans"/>
          <w:b/>
          <w:sz w:val="19"/>
          <w:szCs w:val="19"/>
        </w:rPr>
        <w:t>more than eight hours</w:t>
      </w:r>
      <w:r w:rsidR="00E80C5C" w:rsidRPr="004B348F">
        <w:rPr>
          <w:rFonts w:eastAsia="Times New Roman" w:cs="Open Sans"/>
          <w:sz w:val="19"/>
          <w:szCs w:val="19"/>
        </w:rPr>
        <w:t xml:space="preserve"> for TASL credit</w:t>
      </w:r>
      <w:r w:rsidRPr="004B348F">
        <w:rPr>
          <w:rFonts w:eastAsia="Times New Roman" w:cs="Open Sans"/>
          <w:sz w:val="19"/>
          <w:szCs w:val="19"/>
        </w:rPr>
        <w:t xml:space="preserve"> in a single day/session.</w:t>
      </w:r>
    </w:p>
    <w:p w14:paraId="050D34B5" w14:textId="77777777" w:rsidR="00E80C5C" w:rsidRPr="004B348F" w:rsidRDefault="006D4A35" w:rsidP="004B348F">
      <w:pPr>
        <w:pStyle w:val="ListParagraph"/>
        <w:widowControl/>
        <w:numPr>
          <w:ilvl w:val="0"/>
          <w:numId w:val="6"/>
        </w:numPr>
        <w:contextualSpacing/>
        <w:rPr>
          <w:rFonts w:eastAsia="Times New Roman" w:cs="Open Sans"/>
          <w:i/>
          <w:sz w:val="19"/>
          <w:szCs w:val="19"/>
          <w:u w:val="single"/>
        </w:rPr>
      </w:pPr>
      <w:r w:rsidRPr="004B348F">
        <w:rPr>
          <w:rFonts w:eastAsia="Times New Roman" w:cs="Open Sans"/>
          <w:sz w:val="19"/>
          <w:szCs w:val="19"/>
        </w:rPr>
        <w:t xml:space="preserve">TASL approved conferences may </w:t>
      </w:r>
      <w:r w:rsidR="002C67F4" w:rsidRPr="004B348F">
        <w:rPr>
          <w:rFonts w:eastAsia="Times New Roman" w:cs="Open Sans"/>
          <w:sz w:val="19"/>
          <w:szCs w:val="19"/>
        </w:rPr>
        <w:t xml:space="preserve">offer </w:t>
      </w:r>
      <w:r w:rsidR="002C67F4" w:rsidRPr="004B348F">
        <w:rPr>
          <w:rFonts w:eastAsia="Times New Roman" w:cs="Open Sans"/>
          <w:b/>
          <w:sz w:val="19"/>
          <w:szCs w:val="19"/>
        </w:rPr>
        <w:t>no</w:t>
      </w:r>
      <w:r w:rsidRPr="004B348F">
        <w:rPr>
          <w:rFonts w:eastAsia="Times New Roman" w:cs="Open Sans"/>
          <w:sz w:val="19"/>
          <w:szCs w:val="19"/>
        </w:rPr>
        <w:t xml:space="preserve"> </w:t>
      </w:r>
      <w:r w:rsidRPr="004B348F">
        <w:rPr>
          <w:rFonts w:eastAsia="Times New Roman" w:cs="Open Sans"/>
          <w:b/>
          <w:sz w:val="19"/>
          <w:szCs w:val="19"/>
        </w:rPr>
        <w:t>more than six hours of credit per day</w:t>
      </w:r>
      <w:r w:rsidRPr="004B348F">
        <w:rPr>
          <w:rFonts w:eastAsia="Times New Roman" w:cs="Open Sans"/>
          <w:sz w:val="19"/>
          <w:szCs w:val="19"/>
        </w:rPr>
        <w:t xml:space="preserve"> </w:t>
      </w:r>
    </w:p>
    <w:p w14:paraId="66ABC3BE" w14:textId="63F95450" w:rsidR="006D4A35" w:rsidRPr="004B348F" w:rsidRDefault="006D4A35" w:rsidP="004B348F">
      <w:pPr>
        <w:pStyle w:val="ListParagraph"/>
        <w:widowControl/>
        <w:numPr>
          <w:ilvl w:val="0"/>
          <w:numId w:val="6"/>
        </w:numPr>
        <w:contextualSpacing/>
        <w:rPr>
          <w:rFonts w:eastAsia="Times New Roman" w:cs="Open Sans"/>
          <w:i/>
          <w:sz w:val="19"/>
          <w:szCs w:val="19"/>
          <w:u w:val="single"/>
        </w:rPr>
      </w:pPr>
      <w:r w:rsidRPr="004B348F">
        <w:rPr>
          <w:rFonts w:eastAsia="Times New Roman" w:cs="Open Sans"/>
          <w:sz w:val="19"/>
          <w:szCs w:val="19"/>
        </w:rPr>
        <w:t xml:space="preserve">TASL approved conferences may offer </w:t>
      </w:r>
      <w:r w:rsidRPr="004B348F">
        <w:rPr>
          <w:rFonts w:eastAsia="Times New Roman" w:cs="Open Sans"/>
          <w:b/>
          <w:sz w:val="19"/>
          <w:szCs w:val="19"/>
        </w:rPr>
        <w:t>a maximum of three credit combinations</w:t>
      </w:r>
      <w:r w:rsidRPr="004B348F">
        <w:rPr>
          <w:rFonts w:eastAsia="Times New Roman" w:cs="Open Sans"/>
          <w:sz w:val="19"/>
          <w:szCs w:val="19"/>
        </w:rPr>
        <w:t xml:space="preserve"> </w:t>
      </w:r>
      <w:r w:rsidR="00F51D8F">
        <w:rPr>
          <w:rFonts w:eastAsia="Times New Roman" w:cs="Open Sans"/>
          <w:sz w:val="19"/>
          <w:szCs w:val="19"/>
        </w:rPr>
        <w:t xml:space="preserve">for the entire conference. This </w:t>
      </w:r>
      <w:r w:rsidRPr="004B348F">
        <w:rPr>
          <w:rFonts w:eastAsia="Times New Roman" w:cs="Open Sans"/>
          <w:sz w:val="19"/>
          <w:szCs w:val="19"/>
        </w:rPr>
        <w:t>includes pre-conferences and after-hours meetings.</w:t>
      </w:r>
    </w:p>
    <w:p w14:paraId="66812E82" w14:textId="77777777" w:rsidR="00DD385F" w:rsidRPr="004B348F" w:rsidRDefault="006D4A35" w:rsidP="004B348F">
      <w:pPr>
        <w:pStyle w:val="ListParagraph"/>
        <w:widowControl/>
        <w:numPr>
          <w:ilvl w:val="0"/>
          <w:numId w:val="6"/>
        </w:numPr>
        <w:contextualSpacing/>
        <w:rPr>
          <w:rFonts w:eastAsia="Times New Roman" w:cs="Open Sans"/>
          <w:i/>
          <w:sz w:val="19"/>
          <w:szCs w:val="19"/>
          <w:u w:val="single"/>
        </w:rPr>
      </w:pPr>
      <w:r w:rsidRPr="004B348F">
        <w:rPr>
          <w:rFonts w:eastAsia="Times New Roman" w:cs="Open Sans"/>
          <w:sz w:val="19"/>
          <w:szCs w:val="19"/>
        </w:rPr>
        <w:t>Cumulative events, such as study councils and director’s meetings</w:t>
      </w:r>
      <w:r w:rsidR="00CD4BBC" w:rsidRPr="004B348F">
        <w:rPr>
          <w:rFonts w:eastAsia="Times New Roman" w:cs="Open Sans"/>
          <w:sz w:val="19"/>
          <w:szCs w:val="19"/>
        </w:rPr>
        <w:t>,</w:t>
      </w:r>
      <w:r w:rsidRPr="004B348F">
        <w:rPr>
          <w:rFonts w:eastAsia="Times New Roman" w:cs="Open Sans"/>
          <w:sz w:val="19"/>
          <w:szCs w:val="19"/>
        </w:rPr>
        <w:t xml:space="preserve"> will send attendance verification </w:t>
      </w:r>
      <w:r w:rsidRPr="004B348F">
        <w:rPr>
          <w:rFonts w:eastAsia="Times New Roman" w:cs="Open Sans"/>
          <w:b/>
          <w:sz w:val="19"/>
          <w:szCs w:val="19"/>
        </w:rPr>
        <w:t xml:space="preserve">upon conclusion of </w:t>
      </w:r>
      <w:r w:rsidR="002C67F4" w:rsidRPr="004B348F">
        <w:rPr>
          <w:rFonts w:eastAsia="Times New Roman" w:cs="Open Sans"/>
          <w:b/>
          <w:sz w:val="19"/>
          <w:szCs w:val="19"/>
        </w:rPr>
        <w:t xml:space="preserve">the </w:t>
      </w:r>
      <w:r w:rsidRPr="004B348F">
        <w:rPr>
          <w:rFonts w:eastAsia="Times New Roman" w:cs="Open Sans"/>
          <w:b/>
          <w:sz w:val="19"/>
          <w:szCs w:val="19"/>
        </w:rPr>
        <w:t>event</w:t>
      </w:r>
      <w:r w:rsidR="00CD4BBC" w:rsidRPr="004B348F">
        <w:rPr>
          <w:rFonts w:eastAsia="Times New Roman" w:cs="Open Sans"/>
          <w:b/>
          <w:sz w:val="19"/>
          <w:szCs w:val="19"/>
        </w:rPr>
        <w:t xml:space="preserve"> series</w:t>
      </w:r>
      <w:r w:rsidRPr="004B348F">
        <w:rPr>
          <w:rFonts w:eastAsia="Times New Roman" w:cs="Open Sans"/>
          <w:b/>
          <w:sz w:val="19"/>
          <w:szCs w:val="19"/>
        </w:rPr>
        <w:t xml:space="preserve"> </w:t>
      </w:r>
      <w:r w:rsidR="002C67F4" w:rsidRPr="004B348F">
        <w:rPr>
          <w:rFonts w:eastAsia="Times New Roman" w:cs="Open Sans"/>
          <w:b/>
          <w:sz w:val="19"/>
          <w:szCs w:val="19"/>
        </w:rPr>
        <w:t>but before the end of the TASL year</w:t>
      </w:r>
      <w:r w:rsidRPr="004B348F">
        <w:rPr>
          <w:rFonts w:eastAsia="Times New Roman" w:cs="Open Sans"/>
          <w:sz w:val="19"/>
          <w:szCs w:val="19"/>
        </w:rPr>
        <w:t xml:space="preserve"> (June 30). These events must follow the same guidelines as listed above and may offer between four and 14 hours for the year, with a maximum of three credit options.</w:t>
      </w:r>
    </w:p>
    <w:sectPr w:rsidR="00DD385F" w:rsidRPr="004B348F" w:rsidSect="002C67F4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4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7326E" w14:textId="77777777" w:rsidR="00AB4462" w:rsidRDefault="00AB4462" w:rsidP="0089763D">
      <w:r>
        <w:separator/>
      </w:r>
    </w:p>
  </w:endnote>
  <w:endnote w:type="continuationSeparator" w:id="0">
    <w:p w14:paraId="18147C77" w14:textId="77777777" w:rsidR="00AB4462" w:rsidRDefault="00AB4462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34B04" w14:textId="77777777" w:rsidR="0089763D" w:rsidRDefault="0089763D" w:rsidP="0089763D">
    <w:pPr>
      <w:spacing w:before="12"/>
      <w:rPr>
        <w:rFonts w:eastAsia="Open Sans" w:cs="Open Sans"/>
        <w:sz w:val="16"/>
        <w:szCs w:val="16"/>
      </w:rPr>
    </w:pPr>
  </w:p>
  <w:p w14:paraId="03F1C1F5" w14:textId="77777777" w:rsidR="0089763D" w:rsidRDefault="005616B1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56CAE255" wp14:editId="4059AE19">
              <wp:extent cx="6357668" cy="45719"/>
              <wp:effectExtent l="0" t="0" r="2413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357668" cy="45719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2485A48" id="Group 1" o:spid="_x0000_s1026" style="width:500.6pt;height:3.6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14:paraId="6CAA7DE3" w14:textId="77777777" w:rsidR="0089763D" w:rsidRPr="004313EE" w:rsidRDefault="00D412B8" w:rsidP="001E5279">
    <w:pPr>
      <w:spacing w:before="59" w:line="216" w:lineRule="exact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color w:val="7E7578"/>
        <w:sz w:val="18"/>
        <w:szCs w:val="18"/>
      </w:rPr>
      <w:t>Teacher and Leaders</w:t>
    </w:r>
    <w:r w:rsidR="004313EE" w:rsidRPr="004313EE">
      <w:rPr>
        <w:rFonts w:eastAsia="Open Sans" w:cs="Open Sans"/>
        <w:color w:val="7E7578"/>
        <w:sz w:val="18"/>
        <w:szCs w:val="18"/>
      </w:rPr>
      <w:t>/</w:t>
    </w:r>
    <w:r>
      <w:rPr>
        <w:rFonts w:eastAsia="Open Sans" w:cs="Open Sans"/>
        <w:color w:val="7E7578"/>
        <w:sz w:val="18"/>
        <w:szCs w:val="18"/>
      </w:rPr>
      <w:t>Office of Educator Effectiveness</w:t>
    </w:r>
    <w:r w:rsidR="001E5279">
      <w:rPr>
        <w:rFonts w:eastAsia="Open Sans" w:cs="Open Sans"/>
        <w:color w:val="7E7578"/>
        <w:sz w:val="18"/>
        <w:szCs w:val="18"/>
      </w:rPr>
      <w:t xml:space="preserve">                   </w:t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</w:r>
    <w:r>
      <w:rPr>
        <w:rFonts w:eastAsia="Open Sans" w:cs="Open Sans"/>
        <w:color w:val="7E7578"/>
        <w:sz w:val="18"/>
        <w:szCs w:val="18"/>
      </w:rPr>
      <w:tab/>
      <w:t xml:space="preserve">     </w:t>
    </w:r>
    <w:r w:rsidR="001E5279">
      <w:rPr>
        <w:rFonts w:eastAsia="Open Sans" w:cs="Open Sans"/>
        <w:color w:val="7E7578"/>
        <w:sz w:val="18"/>
        <w:szCs w:val="18"/>
      </w:rPr>
      <w:t xml:space="preserve">  </w:t>
    </w:r>
    <w:r w:rsidR="0080130F" w:rsidRPr="0080130F">
      <w:rPr>
        <w:rFonts w:eastAsia="Open Sans" w:cs="Open Sans"/>
        <w:color w:val="7E7578"/>
        <w:sz w:val="18"/>
        <w:szCs w:val="18"/>
      </w:rPr>
      <w:fldChar w:fldCharType="begin"/>
    </w:r>
    <w:r w:rsidR="0080130F" w:rsidRPr="0080130F">
      <w:rPr>
        <w:rFonts w:eastAsia="Open Sans" w:cs="Open Sans"/>
        <w:color w:val="7E7578"/>
        <w:sz w:val="18"/>
        <w:szCs w:val="18"/>
      </w:rPr>
      <w:instrText xml:space="preserve"> PAGE   \* MERGEFORMAT </w:instrText>
    </w:r>
    <w:r w:rsidR="0080130F" w:rsidRPr="0080130F">
      <w:rPr>
        <w:rFonts w:eastAsia="Open Sans" w:cs="Open Sans"/>
        <w:color w:val="7E7578"/>
        <w:sz w:val="18"/>
        <w:szCs w:val="18"/>
      </w:rPr>
      <w:fldChar w:fldCharType="separate"/>
    </w:r>
    <w:r w:rsidR="00F51D8F">
      <w:rPr>
        <w:rFonts w:eastAsia="Open Sans" w:cs="Open Sans"/>
        <w:noProof/>
        <w:color w:val="7E7578"/>
        <w:sz w:val="18"/>
        <w:szCs w:val="18"/>
      </w:rPr>
      <w:t>1</w:t>
    </w:r>
    <w:r w:rsidR="0080130F" w:rsidRPr="0080130F">
      <w:rPr>
        <w:rFonts w:eastAsia="Open Sans" w:cs="Open Sans"/>
        <w:noProof/>
        <w:color w:val="7E7578"/>
        <w:sz w:val="18"/>
        <w:szCs w:val="18"/>
      </w:rPr>
      <w:fldChar w:fldCharType="end"/>
    </w:r>
    <w:r w:rsidR="0080130F">
      <w:rPr>
        <w:rFonts w:eastAsia="Open Sans" w:cs="Open Sans"/>
        <w:noProof/>
        <w:color w:val="7E7578"/>
        <w:sz w:val="18"/>
        <w:szCs w:val="18"/>
      </w:rPr>
      <w:t xml:space="preserve"> | </w:t>
    </w:r>
    <w:r>
      <w:rPr>
        <w:rFonts w:eastAsia="Open Sans" w:cs="Open Sans"/>
        <w:noProof/>
        <w:color w:val="7E7578"/>
        <w:sz w:val="18"/>
        <w:szCs w:val="18"/>
      </w:rPr>
      <w:t>6.7.2018</w:t>
    </w:r>
    <w:r>
      <w:rPr>
        <w:rFonts w:eastAsia="Open Sans" w:cs="Open Sans"/>
        <w:color w:val="7E757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BCA96" w14:textId="77777777" w:rsidR="00AB4462" w:rsidRDefault="00AB4462" w:rsidP="0089763D">
      <w:r>
        <w:separator/>
      </w:r>
    </w:p>
  </w:footnote>
  <w:footnote w:type="continuationSeparator" w:id="0">
    <w:p w14:paraId="550C1749" w14:textId="77777777" w:rsidR="00AB4462" w:rsidRDefault="00AB4462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A7EFB" w14:textId="77777777" w:rsidR="0089763D" w:rsidRDefault="00364BE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7989EC9" wp14:editId="35108BAB">
          <wp:simplePos x="0" y="0"/>
          <wp:positionH relativeFrom="column">
            <wp:posOffset>2430</wp:posOffset>
          </wp:positionH>
          <wp:positionV relativeFrom="paragraph">
            <wp:posOffset>3976</wp:posOffset>
          </wp:positionV>
          <wp:extent cx="1486893" cy="585647"/>
          <wp:effectExtent l="0" t="0" r="0" b="0"/>
          <wp:wrapNone/>
          <wp:docPr id="19" name="Picture 19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63323" w14:textId="77777777" w:rsidR="0089763D" w:rsidRDefault="00897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2474"/>
    <w:multiLevelType w:val="hybridMultilevel"/>
    <w:tmpl w:val="4F96C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BB022B"/>
    <w:multiLevelType w:val="hybridMultilevel"/>
    <w:tmpl w:val="92B2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4F02"/>
    <w:multiLevelType w:val="hybridMultilevel"/>
    <w:tmpl w:val="4D8C62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E7C125D"/>
    <w:multiLevelType w:val="hybridMultilevel"/>
    <w:tmpl w:val="790A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D137D"/>
    <w:multiLevelType w:val="hybridMultilevel"/>
    <w:tmpl w:val="9092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35"/>
    <w:rsid w:val="00025247"/>
    <w:rsid w:val="00082277"/>
    <w:rsid w:val="000827FD"/>
    <w:rsid w:val="000C35B5"/>
    <w:rsid w:val="0012065C"/>
    <w:rsid w:val="00134746"/>
    <w:rsid w:val="001926BE"/>
    <w:rsid w:val="001A7167"/>
    <w:rsid w:val="001E5279"/>
    <w:rsid w:val="0020111B"/>
    <w:rsid w:val="00265F01"/>
    <w:rsid w:val="002C67F4"/>
    <w:rsid w:val="00364BE0"/>
    <w:rsid w:val="003A5600"/>
    <w:rsid w:val="003F0191"/>
    <w:rsid w:val="004100BF"/>
    <w:rsid w:val="00425C99"/>
    <w:rsid w:val="004313EE"/>
    <w:rsid w:val="00454A33"/>
    <w:rsid w:val="00457E12"/>
    <w:rsid w:val="0046175A"/>
    <w:rsid w:val="004B348F"/>
    <w:rsid w:val="004C0AF4"/>
    <w:rsid w:val="005323C9"/>
    <w:rsid w:val="005616B1"/>
    <w:rsid w:val="005E45EA"/>
    <w:rsid w:val="006D4A35"/>
    <w:rsid w:val="00706D82"/>
    <w:rsid w:val="007B5019"/>
    <w:rsid w:val="007C4631"/>
    <w:rsid w:val="007D74E7"/>
    <w:rsid w:val="0080130F"/>
    <w:rsid w:val="00802646"/>
    <w:rsid w:val="00871878"/>
    <w:rsid w:val="0089763D"/>
    <w:rsid w:val="008B4FC9"/>
    <w:rsid w:val="009264E5"/>
    <w:rsid w:val="009A2BC1"/>
    <w:rsid w:val="009A36FB"/>
    <w:rsid w:val="00A7532C"/>
    <w:rsid w:val="00AB4462"/>
    <w:rsid w:val="00B56EBF"/>
    <w:rsid w:val="00BC52A1"/>
    <w:rsid w:val="00CA086E"/>
    <w:rsid w:val="00CD4BBC"/>
    <w:rsid w:val="00CE1BDB"/>
    <w:rsid w:val="00CE21E9"/>
    <w:rsid w:val="00D412B8"/>
    <w:rsid w:val="00D74BD9"/>
    <w:rsid w:val="00DD385F"/>
    <w:rsid w:val="00E3177D"/>
    <w:rsid w:val="00E42CE9"/>
    <w:rsid w:val="00E80C5C"/>
    <w:rsid w:val="00E96F29"/>
    <w:rsid w:val="00F303C6"/>
    <w:rsid w:val="00F4799C"/>
    <w:rsid w:val="00F51D8F"/>
    <w:rsid w:val="00F6624A"/>
    <w:rsid w:val="00FC494A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FAB2B"/>
  <w15:docId w15:val="{DA604C75-71AE-4A37-8A7B-4A907C03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7C4631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rsid w:val="00CE21E9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7C4631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CE21E9"/>
    <w:rPr>
      <w:rFonts w:ascii="PermianSlabSerifTypeface" w:eastAsiaTheme="majorEastAsia" w:hAnsi="PermianSlabSerifTypeface" w:cstheme="majorBidi"/>
      <w:b/>
      <w:bCs/>
      <w:sz w:val="32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A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3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32C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32C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8463\Dropbox\Style%20Guide%20and%20Strat%20Plan%20PPTs\2018%20Templates\One%20Pager.dotm" TargetMode="External"/></Relationship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01C8-8D25-48AD-A84C-366DD074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Pager</Template>
  <TotalTime>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Martha Moore</dc:creator>
  <cp:lastModifiedBy>Martha Moore</cp:lastModifiedBy>
  <cp:revision>3</cp:revision>
  <cp:lastPrinted>2015-04-20T20:24:00Z</cp:lastPrinted>
  <dcterms:created xsi:type="dcterms:W3CDTF">2018-06-08T21:31:00Z</dcterms:created>
  <dcterms:modified xsi:type="dcterms:W3CDTF">2018-06-11T20:48:00Z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